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Holdingtable"/>
        <w:tblW w:w="9639" w:type="dxa"/>
        <w:tblLook w:val="04A0" w:firstRow="1" w:lastRow="0" w:firstColumn="1" w:lastColumn="0" w:noHBand="0" w:noVBand="1"/>
      </w:tblPr>
      <w:tblGrid>
        <w:gridCol w:w="2807"/>
        <w:gridCol w:w="6832"/>
      </w:tblGrid>
      <w:tr w:rsidR="007E0F7A" w14:paraId="64E1B86B" w14:textId="77777777" w:rsidTr="00C23B7B">
        <w:trPr>
          <w:trHeight w:val="1216"/>
        </w:trPr>
        <w:tc>
          <w:tcPr>
            <w:tcW w:w="2807" w:type="dxa"/>
          </w:tcPr>
          <w:p w14:paraId="7726B769" w14:textId="346EF6E6" w:rsidR="001B66BB" w:rsidRDefault="001B66BB"/>
        </w:tc>
        <w:tc>
          <w:tcPr>
            <w:tcW w:w="6832" w:type="dxa"/>
            <w:vMerge w:val="restart"/>
            <w:vAlign w:val="bottom"/>
          </w:tcPr>
          <w:p w14:paraId="6A02744B" w14:textId="77777777" w:rsidR="007E0F7A" w:rsidRPr="007E0F7A" w:rsidRDefault="007E0F7A" w:rsidP="007E0F7A">
            <w:pPr>
              <w:numPr>
                <w:ilvl w:val="0"/>
                <w:numId w:val="1"/>
              </w:numPr>
              <w:spacing w:before="100" w:beforeAutospacing="1" w:after="100" w:afterAutospacing="1" w:line="240" w:lineRule="auto"/>
              <w:ind w:left="0" w:right="700" w:firstLine="0"/>
              <w:rPr>
                <w:rFonts w:ascii="Times New Roman" w:eastAsia="Times New Roman" w:hAnsi="Times New Roman" w:cs="Times New Roman"/>
                <w:sz w:val="24"/>
                <w:lang w:val="fr-BE" w:eastAsia="fr-BE"/>
              </w:rPr>
            </w:pPr>
            <w:r w:rsidRPr="007E0F7A">
              <w:rPr>
                <w:rFonts w:ascii="Times New Roman" w:eastAsia="Times New Roman" w:hAnsi="Times New Roman" w:cs="Times New Roman"/>
                <w:noProof/>
                <w:sz w:val="24"/>
                <w:lang w:val="fr-BE" w:eastAsia="fr-BE"/>
              </w:rPr>
              <w:drawing>
                <wp:inline distT="0" distB="0" distL="0" distR="0" wp14:anchorId="7B34566E" wp14:editId="1DCF24B9">
                  <wp:extent cx="3436620" cy="2101087"/>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72158" cy="2122814"/>
                          </a:xfrm>
                          <a:prstGeom prst="rect">
                            <a:avLst/>
                          </a:prstGeom>
                          <a:noFill/>
                          <a:ln>
                            <a:noFill/>
                          </a:ln>
                        </pic:spPr>
                      </pic:pic>
                    </a:graphicData>
                  </a:graphic>
                </wp:inline>
              </w:drawing>
            </w:r>
          </w:p>
          <w:p w14:paraId="23573D91" w14:textId="565ADE6E" w:rsidR="001B66BB" w:rsidRPr="002F2695" w:rsidRDefault="001B66BB" w:rsidP="002F2695">
            <w:pPr>
              <w:pStyle w:val="NormalNospacing"/>
            </w:pPr>
          </w:p>
        </w:tc>
      </w:tr>
      <w:tr w:rsidR="007E0F7A" w:rsidRPr="00BC4EA2" w14:paraId="63EABFA2" w14:textId="77777777" w:rsidTr="00C23B7B">
        <w:trPr>
          <w:trHeight w:val="2347"/>
        </w:trPr>
        <w:tc>
          <w:tcPr>
            <w:tcW w:w="2807" w:type="dxa"/>
            <w:vAlign w:val="bottom"/>
          </w:tcPr>
          <w:p w14:paraId="426CCB6B" w14:textId="27D46B6C" w:rsidR="001B66BB" w:rsidRPr="00C23B7B" w:rsidRDefault="00D44F34" w:rsidP="005C6786">
            <w:pPr>
              <w:pStyle w:val="Name"/>
              <w:rPr>
                <w:sz w:val="28"/>
                <w:szCs w:val="28"/>
                <w:lang w:val="fr-FR"/>
              </w:rPr>
            </w:pPr>
            <w:r w:rsidRPr="00C23B7B">
              <w:rPr>
                <w:sz w:val="28"/>
                <w:szCs w:val="28"/>
                <w:lang w:val="fr-FR"/>
              </w:rPr>
              <w:t>Jean-Francois Tossens</w:t>
            </w:r>
            <w:r w:rsidR="00427622" w:rsidRPr="00C23B7B">
              <w:rPr>
                <w:sz w:val="28"/>
                <w:szCs w:val="28"/>
                <w:lang w:val="fr-FR"/>
              </w:rPr>
              <w:t xml:space="preserve"> </w:t>
            </w:r>
          </w:p>
          <w:p w14:paraId="5D58E2F6" w14:textId="77777777" w:rsidR="00C23B7B" w:rsidRPr="00C23B7B" w:rsidRDefault="00C23B7B" w:rsidP="00C23B7B">
            <w:pPr>
              <w:shd w:val="clear" w:color="auto" w:fill="FFFFFF"/>
              <w:textAlignment w:val="baseline"/>
              <w:rPr>
                <w:rFonts w:ascii="Calibri" w:hAnsi="Calibri" w:cs="Calibri"/>
                <w:lang w:val="fr-FR" w:eastAsia="fr-BE"/>
              </w:rPr>
            </w:pPr>
            <w:r w:rsidRPr="00C23B7B">
              <w:rPr>
                <w:rFonts w:ascii="Calibri" w:hAnsi="Calibri" w:cs="Calibri"/>
                <w:lang w:val="fr-FR" w:eastAsia="fr-BE"/>
              </w:rPr>
              <w:t>Partner</w:t>
            </w:r>
          </w:p>
          <w:p w14:paraId="3607D1F5" w14:textId="77777777" w:rsidR="00C23B7B" w:rsidRPr="00C23B7B" w:rsidRDefault="00C23B7B" w:rsidP="00C23B7B">
            <w:pPr>
              <w:shd w:val="clear" w:color="auto" w:fill="FFFFFF"/>
              <w:textAlignment w:val="baseline"/>
              <w:rPr>
                <w:rFonts w:ascii="Calibri" w:hAnsi="Calibri" w:cs="Calibri"/>
                <w:lang w:val="fr-FR" w:eastAsia="fr-BE"/>
              </w:rPr>
            </w:pPr>
            <w:hyperlink r:id="rId12" w:history="1">
              <w:r w:rsidRPr="00C23B7B">
                <w:rPr>
                  <w:rStyle w:val="Hyperlink"/>
                  <w:rFonts w:ascii="Calibri" w:hAnsi="Calibri" w:cs="Calibri"/>
                  <w:bdr w:val="none" w:sz="0" w:space="0" w:color="auto" w:frame="1"/>
                  <w:lang w:val="fr-FR" w:eastAsia="fr-BE"/>
                </w:rPr>
                <w:t>jean-francois.tossens@tglaw.be</w:t>
              </w:r>
            </w:hyperlink>
          </w:p>
          <w:p w14:paraId="650E7D04" w14:textId="77777777" w:rsidR="00C23B7B" w:rsidRPr="00BC4EA2" w:rsidRDefault="00C23B7B" w:rsidP="00C23B7B">
            <w:pPr>
              <w:shd w:val="clear" w:color="auto" w:fill="FFFFFF"/>
              <w:textAlignment w:val="baseline"/>
              <w:rPr>
                <w:rFonts w:ascii="Calibri" w:hAnsi="Calibri" w:cs="Calibri"/>
                <w:lang w:val="fr-BE" w:eastAsia="fr-BE"/>
              </w:rPr>
            </w:pPr>
            <w:r w:rsidRPr="00BC4EA2">
              <w:rPr>
                <w:rFonts w:ascii="Calibri" w:hAnsi="Calibri" w:cs="Calibri"/>
                <w:lang w:val="fr-BE" w:eastAsia="fr-BE"/>
              </w:rPr>
              <w:t>M: +32 475 27 70 90</w:t>
            </w:r>
          </w:p>
          <w:p w14:paraId="5FA6EE5F" w14:textId="70042518" w:rsidR="001B66BB" w:rsidRPr="00BC4EA2" w:rsidRDefault="00C23B7B" w:rsidP="00C23B7B">
            <w:pPr>
              <w:shd w:val="clear" w:color="auto" w:fill="FFFFFF"/>
              <w:textAlignment w:val="baseline"/>
              <w:rPr>
                <w:rFonts w:ascii="Calibri" w:hAnsi="Calibri" w:cs="Calibri"/>
                <w:lang w:val="fr-BE" w:eastAsia="fr-BE"/>
              </w:rPr>
            </w:pPr>
            <w:r w:rsidRPr="00BC4EA2">
              <w:rPr>
                <w:rFonts w:ascii="Calibri" w:hAnsi="Calibri" w:cs="Calibri"/>
                <w:lang w:val="fr-BE" w:eastAsia="fr-BE"/>
              </w:rPr>
              <w:t>Avenue Louise 480/5, 1050 Brussels, Belgium</w:t>
            </w:r>
          </w:p>
        </w:tc>
        <w:tc>
          <w:tcPr>
            <w:tcW w:w="6832" w:type="dxa"/>
            <w:vMerge/>
          </w:tcPr>
          <w:p w14:paraId="22139292" w14:textId="77777777" w:rsidR="001B66BB" w:rsidRPr="00BC4EA2" w:rsidRDefault="001B66BB">
            <w:pPr>
              <w:rPr>
                <w:lang w:val="fr-BE"/>
              </w:rPr>
            </w:pPr>
          </w:p>
        </w:tc>
      </w:tr>
      <w:tr w:rsidR="007E0F7A" w:rsidRPr="00A9236C" w14:paraId="1AEF8769" w14:textId="77777777" w:rsidTr="00C23B7B">
        <w:trPr>
          <w:trHeight w:val="726"/>
        </w:trPr>
        <w:tc>
          <w:tcPr>
            <w:tcW w:w="2807" w:type="dxa"/>
          </w:tcPr>
          <w:p w14:paraId="7CDAAD8E" w14:textId="42B852B8" w:rsidR="001B66BB" w:rsidRPr="00A9236C" w:rsidRDefault="007E4F7C" w:rsidP="009A32F6">
            <w:pPr>
              <w:rPr>
                <w:sz w:val="18"/>
                <w:szCs w:val="22"/>
              </w:rPr>
            </w:pPr>
            <w:r>
              <w:rPr>
                <w:sz w:val="36"/>
                <w:szCs w:val="36"/>
              </w:rPr>
              <w:t>Overview</w:t>
            </w:r>
          </w:p>
        </w:tc>
        <w:tc>
          <w:tcPr>
            <w:tcW w:w="6832" w:type="dxa"/>
          </w:tcPr>
          <w:p w14:paraId="6C4129DA" w14:textId="77777777" w:rsidR="001B66BB" w:rsidRPr="00A9236C" w:rsidRDefault="001B66BB" w:rsidP="009A32F6">
            <w:pPr>
              <w:rPr>
                <w:sz w:val="18"/>
                <w:szCs w:val="22"/>
              </w:rPr>
            </w:pPr>
          </w:p>
        </w:tc>
      </w:tr>
    </w:tbl>
    <w:p w14:paraId="364EC7A7" w14:textId="77B5A6C9" w:rsidR="00710674" w:rsidRDefault="00171D63" w:rsidP="00E4263C">
      <w:pPr>
        <w:jc w:val="both"/>
        <w:rPr>
          <w:szCs w:val="20"/>
        </w:rPr>
      </w:pPr>
      <w:r w:rsidRPr="00171D63">
        <w:rPr>
          <w:szCs w:val="20"/>
        </w:rPr>
        <w:t xml:space="preserve">Jean-François Tossens has </w:t>
      </w:r>
      <w:r w:rsidR="002A47A5">
        <w:rPr>
          <w:szCs w:val="20"/>
        </w:rPr>
        <w:t>a long</w:t>
      </w:r>
      <w:r w:rsidR="00C9502A">
        <w:rPr>
          <w:szCs w:val="20"/>
        </w:rPr>
        <w:t>-</w:t>
      </w:r>
      <w:r w:rsidR="002A47A5">
        <w:rPr>
          <w:szCs w:val="20"/>
        </w:rPr>
        <w:t>standing combined experience in international</w:t>
      </w:r>
      <w:r w:rsidR="00A00A21">
        <w:rPr>
          <w:szCs w:val="20"/>
        </w:rPr>
        <w:t xml:space="preserve"> business law</w:t>
      </w:r>
      <w:r w:rsidR="00710674">
        <w:rPr>
          <w:szCs w:val="20"/>
        </w:rPr>
        <w:t>, both</w:t>
      </w:r>
      <w:r w:rsidR="00C9502A">
        <w:rPr>
          <w:szCs w:val="20"/>
        </w:rPr>
        <w:t xml:space="preserve"> </w:t>
      </w:r>
      <w:r w:rsidR="00710674">
        <w:rPr>
          <w:szCs w:val="20"/>
        </w:rPr>
        <w:t xml:space="preserve">in transactional </w:t>
      </w:r>
      <w:r w:rsidR="005050B8">
        <w:rPr>
          <w:szCs w:val="20"/>
        </w:rPr>
        <w:t xml:space="preserve">and </w:t>
      </w:r>
      <w:r w:rsidR="005050B8" w:rsidRPr="005050B8">
        <w:rPr>
          <w:szCs w:val="20"/>
        </w:rPr>
        <w:t xml:space="preserve">contentious </w:t>
      </w:r>
      <w:r w:rsidR="005050B8">
        <w:rPr>
          <w:szCs w:val="20"/>
        </w:rPr>
        <w:t>matters, acting as counsel, litigator or arbitrator.</w:t>
      </w:r>
    </w:p>
    <w:p w14:paraId="35F96DAC" w14:textId="45D9D59F" w:rsidR="00171D63" w:rsidRPr="00171D63" w:rsidRDefault="00710674" w:rsidP="00E4263C">
      <w:pPr>
        <w:jc w:val="both"/>
        <w:rPr>
          <w:szCs w:val="20"/>
        </w:rPr>
      </w:pPr>
      <w:r>
        <w:rPr>
          <w:szCs w:val="20"/>
        </w:rPr>
        <w:t xml:space="preserve">Jean-François Tossens </w:t>
      </w:r>
      <w:r w:rsidR="00C9502A">
        <w:rPr>
          <w:szCs w:val="20"/>
        </w:rPr>
        <w:t xml:space="preserve">has </w:t>
      </w:r>
      <w:r w:rsidR="00861CC7">
        <w:rPr>
          <w:szCs w:val="20"/>
        </w:rPr>
        <w:t>developed over the last 20 years an</w:t>
      </w:r>
      <w:r w:rsidR="00171D63" w:rsidRPr="00171D63">
        <w:rPr>
          <w:szCs w:val="20"/>
        </w:rPr>
        <w:t xml:space="preserve"> extensive and distinguished career in national and international arbitration, serving both as counsel and arbitrator. He </w:t>
      </w:r>
      <w:r w:rsidR="00103710">
        <w:rPr>
          <w:szCs w:val="20"/>
        </w:rPr>
        <w:t>regularly</w:t>
      </w:r>
      <w:r w:rsidR="00171D63" w:rsidRPr="00171D63">
        <w:rPr>
          <w:szCs w:val="20"/>
        </w:rPr>
        <w:t xml:space="preserve"> handles cases under</w:t>
      </w:r>
      <w:r w:rsidR="00103710">
        <w:rPr>
          <w:szCs w:val="20"/>
        </w:rPr>
        <w:t xml:space="preserve"> various rules </w:t>
      </w:r>
      <w:r w:rsidR="00171D63" w:rsidRPr="00171D63">
        <w:rPr>
          <w:szCs w:val="20"/>
        </w:rPr>
        <w:t xml:space="preserve">and ad hoc arbitration proceedings. </w:t>
      </w:r>
    </w:p>
    <w:p w14:paraId="3CF14217" w14:textId="4D2A0D5E" w:rsidR="00171D63" w:rsidRPr="00171D63" w:rsidRDefault="001A4710" w:rsidP="00E4263C">
      <w:pPr>
        <w:jc w:val="both"/>
        <w:rPr>
          <w:szCs w:val="20"/>
        </w:rPr>
      </w:pPr>
      <w:r>
        <w:rPr>
          <w:szCs w:val="20"/>
        </w:rPr>
        <w:t>His</w:t>
      </w:r>
      <w:r w:rsidR="00171D63" w:rsidRPr="00171D63">
        <w:rPr>
          <w:szCs w:val="20"/>
        </w:rPr>
        <w:t xml:space="preserve"> experience spans a wide array of complex commercial, corporate, and financial disputes, including partnership and shareholders’ agreements, post-acquisition disputes, construction, distribution, and sports arbitration. His practice is notably significant in the financial and industrial sectors, covering (public) investment funds, private equity, a</w:t>
      </w:r>
      <w:r w:rsidR="00E40045">
        <w:rPr>
          <w:szCs w:val="20"/>
        </w:rPr>
        <w:t>viation</w:t>
      </w:r>
      <w:r w:rsidR="00171D63" w:rsidRPr="00171D63">
        <w:rPr>
          <w:szCs w:val="20"/>
        </w:rPr>
        <w:t>, insurance, energy, and biotechnology.</w:t>
      </w:r>
    </w:p>
    <w:p w14:paraId="10A83B41" w14:textId="4DEAD714" w:rsidR="00171D63" w:rsidRPr="00171D63" w:rsidRDefault="00171D63" w:rsidP="00E4263C">
      <w:pPr>
        <w:jc w:val="both"/>
        <w:rPr>
          <w:szCs w:val="20"/>
        </w:rPr>
      </w:pPr>
      <w:r w:rsidRPr="00171D63">
        <w:rPr>
          <w:szCs w:val="20"/>
        </w:rPr>
        <w:t>Jean-François is a</w:t>
      </w:r>
      <w:r w:rsidR="001A4710">
        <w:rPr>
          <w:szCs w:val="20"/>
        </w:rPr>
        <w:t xml:space="preserve">lso a </w:t>
      </w:r>
      <w:r w:rsidRPr="00171D63">
        <w:rPr>
          <w:szCs w:val="20"/>
        </w:rPr>
        <w:t>respected educator, teaching national and international arbitration law at the Universit</w:t>
      </w:r>
      <w:r w:rsidR="00E40045">
        <w:rPr>
          <w:szCs w:val="20"/>
        </w:rPr>
        <w:t>y of</w:t>
      </w:r>
      <w:r w:rsidRPr="00171D63">
        <w:rPr>
          <w:szCs w:val="20"/>
        </w:rPr>
        <w:t xml:space="preserve"> Louvain-la-Neuve (UCL). He has been President of the international arbitration association Francarbi since 2022 and serves on the board of directors of ICC Belgium. He contributes to the field through various publications </w:t>
      </w:r>
      <w:r w:rsidR="00B506C7">
        <w:rPr>
          <w:szCs w:val="20"/>
        </w:rPr>
        <w:t xml:space="preserve">and conferences </w:t>
      </w:r>
      <w:r w:rsidRPr="00171D63">
        <w:rPr>
          <w:szCs w:val="20"/>
        </w:rPr>
        <w:t>in arbitration and business law and is a member of the editorial board of the Belgian Review of Arbitration, b-Arbitra.</w:t>
      </w:r>
    </w:p>
    <w:p w14:paraId="12D9FBC9" w14:textId="7E961693" w:rsidR="00610788" w:rsidRPr="00171D63" w:rsidRDefault="00171D63" w:rsidP="00E4263C">
      <w:pPr>
        <w:jc w:val="both"/>
        <w:rPr>
          <w:szCs w:val="20"/>
        </w:rPr>
      </w:pPr>
      <w:r w:rsidRPr="00171D63">
        <w:rPr>
          <w:szCs w:val="20"/>
        </w:rPr>
        <w:t>His professional excellence is recogni</w:t>
      </w:r>
      <w:r w:rsidR="00CA21F6">
        <w:rPr>
          <w:szCs w:val="20"/>
        </w:rPr>
        <w:t>s</w:t>
      </w:r>
      <w:r w:rsidRPr="00171D63">
        <w:rPr>
          <w:szCs w:val="20"/>
        </w:rPr>
        <w:t>ed in Chambers 202</w:t>
      </w:r>
      <w:r w:rsidR="00B506C7">
        <w:rPr>
          <w:szCs w:val="20"/>
        </w:rPr>
        <w:t>5</w:t>
      </w:r>
      <w:r w:rsidRPr="00171D63">
        <w:rPr>
          <w:szCs w:val="20"/>
        </w:rPr>
        <w:t xml:space="preserve"> (Band 2 – Dispute Resolution Arbitration – Belgium), with sources commending his arbitration expertise in both domestic and cross-border commercial disputes. Jean-François is also listed in Who’s Who Legal (Arbitration) and the Leaders League Directory. He was honored as “Lawyer of the Year” for Arbitration and Mediation by Best Lawyers in Belgium 2023.</w:t>
      </w:r>
    </w:p>
    <w:p w14:paraId="40F0B438" w14:textId="77777777" w:rsidR="00381466" w:rsidRDefault="00B506C7" w:rsidP="001771A4">
      <w:pPr>
        <w:pStyle w:val="Heading2"/>
        <w:rPr>
          <w:color w:val="auto"/>
          <w:sz w:val="36"/>
          <w:szCs w:val="36"/>
        </w:rPr>
      </w:pPr>
      <w:r>
        <w:rPr>
          <w:color w:val="auto"/>
          <w:sz w:val="36"/>
          <w:szCs w:val="36"/>
        </w:rPr>
        <w:t>Experience</w:t>
      </w:r>
    </w:p>
    <w:p w14:paraId="343D8F4D" w14:textId="5A42ED0F" w:rsidR="00D53056" w:rsidRPr="00381466" w:rsidRDefault="00D2290A" w:rsidP="001771A4">
      <w:pPr>
        <w:pStyle w:val="Heading2"/>
        <w:rPr>
          <w:color w:val="auto"/>
          <w:sz w:val="28"/>
          <w:szCs w:val="28"/>
        </w:rPr>
      </w:pPr>
      <w:r w:rsidRPr="00381466">
        <w:rPr>
          <w:color w:val="auto"/>
          <w:sz w:val="28"/>
          <w:szCs w:val="28"/>
        </w:rPr>
        <w:t xml:space="preserve">Sector Expertise </w:t>
      </w:r>
      <w:r w:rsidR="004E23BD" w:rsidRPr="00381466">
        <w:rPr>
          <w:color w:val="auto"/>
          <w:sz w:val="28"/>
          <w:szCs w:val="28"/>
        </w:rPr>
        <w:br/>
      </w:r>
    </w:p>
    <w:p w14:paraId="6680EE9E" w14:textId="24C85679" w:rsidR="00610788" w:rsidRDefault="00655B6C" w:rsidP="00072C7E">
      <w:pPr>
        <w:pStyle w:val="ListParagraph"/>
        <w:numPr>
          <w:ilvl w:val="0"/>
          <w:numId w:val="2"/>
        </w:numPr>
      </w:pPr>
      <w:r>
        <w:t xml:space="preserve">Commercial Dispute Resolution </w:t>
      </w:r>
    </w:p>
    <w:p w14:paraId="7CCBCD55" w14:textId="65B6AE72" w:rsidR="00A573BA" w:rsidRDefault="00A573BA" w:rsidP="00072C7E">
      <w:pPr>
        <w:pStyle w:val="ListParagraph"/>
        <w:numPr>
          <w:ilvl w:val="0"/>
          <w:numId w:val="2"/>
        </w:numPr>
      </w:pPr>
      <w:r>
        <w:t xml:space="preserve">Energy, </w:t>
      </w:r>
      <w:r w:rsidR="00FA340D">
        <w:t xml:space="preserve">Oil &amp; Gas </w:t>
      </w:r>
    </w:p>
    <w:p w14:paraId="77386193" w14:textId="2DBCE5DC" w:rsidR="00655B6C" w:rsidRDefault="001D1938" w:rsidP="00072C7E">
      <w:pPr>
        <w:pStyle w:val="ListParagraph"/>
        <w:numPr>
          <w:ilvl w:val="0"/>
          <w:numId w:val="2"/>
        </w:numPr>
      </w:pPr>
      <w:r>
        <w:t xml:space="preserve">Mergers, Acquisitions, Shareholder &amp; Partnership disputes </w:t>
      </w:r>
    </w:p>
    <w:p w14:paraId="3C2530E8" w14:textId="79370A8B" w:rsidR="001D1938" w:rsidRDefault="001D1938" w:rsidP="001D1938">
      <w:pPr>
        <w:pStyle w:val="ListParagraph"/>
        <w:numPr>
          <w:ilvl w:val="0"/>
          <w:numId w:val="2"/>
        </w:numPr>
      </w:pPr>
      <w:r>
        <w:t xml:space="preserve">Construction, Engineering &amp; Infrastructure </w:t>
      </w:r>
    </w:p>
    <w:p w14:paraId="2F8A05C1" w14:textId="1FF3F399" w:rsidR="00381466" w:rsidRDefault="00381466" w:rsidP="001D1938">
      <w:pPr>
        <w:pStyle w:val="ListParagraph"/>
        <w:numPr>
          <w:ilvl w:val="0"/>
          <w:numId w:val="2"/>
        </w:numPr>
      </w:pPr>
      <w:r>
        <w:t>Finance</w:t>
      </w:r>
      <w:r w:rsidR="00863BA8">
        <w:t xml:space="preserve"> and </w:t>
      </w:r>
      <w:r w:rsidR="00E463B7">
        <w:t>Insurance</w:t>
      </w:r>
    </w:p>
    <w:p w14:paraId="3DBEC885" w14:textId="77777777" w:rsidR="0047697F" w:rsidRDefault="0047697F" w:rsidP="0047697F">
      <w:pPr>
        <w:pStyle w:val="ListParagraph"/>
      </w:pPr>
    </w:p>
    <w:p w14:paraId="6409289C" w14:textId="32546F41" w:rsidR="00AE3163" w:rsidRPr="009D6808" w:rsidRDefault="00AE3163" w:rsidP="00AE3163">
      <w:pPr>
        <w:rPr>
          <w:b/>
          <w:bCs/>
          <w:sz w:val="24"/>
        </w:rPr>
      </w:pPr>
      <w:r w:rsidRPr="009D6808">
        <w:rPr>
          <w:b/>
          <w:bCs/>
          <w:sz w:val="24"/>
        </w:rPr>
        <w:t xml:space="preserve">Commercial Dispute Resolution </w:t>
      </w:r>
    </w:p>
    <w:p w14:paraId="765E009B" w14:textId="0C89407F" w:rsidR="00AF2FA8" w:rsidRPr="00D41C54" w:rsidRDefault="0047697F" w:rsidP="00A70BAE">
      <w:pPr>
        <w:jc w:val="both"/>
        <w:rPr>
          <w:rFonts w:ascii="Calibri" w:hAnsi="Calibri" w:cs="Calibri"/>
          <w:sz w:val="22"/>
          <w:szCs w:val="22"/>
        </w:rPr>
      </w:pPr>
      <w:r w:rsidRPr="00D41C54">
        <w:rPr>
          <w:rFonts w:ascii="Calibri" w:hAnsi="Calibri" w:cs="Calibri"/>
          <w:sz w:val="22"/>
          <w:szCs w:val="22"/>
        </w:rPr>
        <w:t>Jean-François has dealt frequently with m</w:t>
      </w:r>
      <w:r w:rsidR="008C24B8" w:rsidRPr="00D41C54">
        <w:rPr>
          <w:rFonts w:ascii="Calibri" w:hAnsi="Calibri" w:cs="Calibri"/>
          <w:sz w:val="22"/>
          <w:szCs w:val="22"/>
        </w:rPr>
        <w:t xml:space="preserve">atters relating specifically to </w:t>
      </w:r>
      <w:r w:rsidR="00AF2FA8" w:rsidRPr="00D41C54">
        <w:rPr>
          <w:rFonts w:ascii="Calibri" w:hAnsi="Calibri" w:cs="Calibri"/>
          <w:sz w:val="22"/>
          <w:szCs w:val="22"/>
        </w:rPr>
        <w:t xml:space="preserve">public investment funds, </w:t>
      </w:r>
      <w:r w:rsidRPr="00D41C54">
        <w:rPr>
          <w:rFonts w:ascii="Calibri" w:hAnsi="Calibri" w:cs="Calibri"/>
          <w:sz w:val="22"/>
          <w:szCs w:val="22"/>
        </w:rPr>
        <w:t xml:space="preserve">distribution, </w:t>
      </w:r>
      <w:r w:rsidR="00AF2FA8" w:rsidRPr="00D41C54">
        <w:rPr>
          <w:rFonts w:ascii="Calibri" w:hAnsi="Calibri" w:cs="Calibri"/>
          <w:sz w:val="22"/>
          <w:szCs w:val="22"/>
        </w:rPr>
        <w:t>private equity, aeronautics, biotechnology, sports</w:t>
      </w:r>
      <w:r w:rsidR="00A70BAE" w:rsidRPr="00D41C54">
        <w:rPr>
          <w:rFonts w:ascii="Calibri" w:hAnsi="Calibri" w:cs="Calibri"/>
          <w:sz w:val="22"/>
          <w:szCs w:val="22"/>
        </w:rPr>
        <w:t xml:space="preserve">, </w:t>
      </w:r>
      <w:r w:rsidR="00AF2FA8" w:rsidRPr="00D41C54">
        <w:rPr>
          <w:rFonts w:ascii="Calibri" w:hAnsi="Calibri" w:cs="Calibri"/>
          <w:sz w:val="22"/>
          <w:szCs w:val="22"/>
        </w:rPr>
        <w:t xml:space="preserve">….. </w:t>
      </w:r>
      <w:r w:rsidRPr="00D41C54">
        <w:rPr>
          <w:rFonts w:ascii="Calibri" w:hAnsi="Calibri" w:cs="Calibri"/>
          <w:sz w:val="22"/>
          <w:szCs w:val="22"/>
        </w:rPr>
        <w:t xml:space="preserve">He has a special expertise in aeronautics (including maintenance related issues, incidents, insurance and reinsurance, leases, </w:t>
      </w:r>
      <w:r w:rsidR="00A70BAE" w:rsidRPr="00D41C54">
        <w:rPr>
          <w:rFonts w:ascii="Calibri" w:hAnsi="Calibri" w:cs="Calibri"/>
          <w:sz w:val="22"/>
          <w:szCs w:val="22"/>
        </w:rPr>
        <w:t xml:space="preserve">distribution, </w:t>
      </w:r>
      <w:r w:rsidRPr="00D41C54">
        <w:rPr>
          <w:rFonts w:ascii="Calibri" w:hAnsi="Calibri" w:cs="Calibri"/>
          <w:sz w:val="22"/>
          <w:szCs w:val="22"/>
        </w:rPr>
        <w:t>handling, GSA contracts,</w:t>
      </w:r>
      <w:r w:rsidR="00A70BAE" w:rsidRPr="00D41C54">
        <w:rPr>
          <w:rFonts w:ascii="Calibri" w:hAnsi="Calibri" w:cs="Calibri"/>
          <w:sz w:val="22"/>
          <w:szCs w:val="22"/>
        </w:rPr>
        <w:t xml:space="preserve"> </w:t>
      </w:r>
      <w:r w:rsidRPr="00D41C54">
        <w:rPr>
          <w:rFonts w:ascii="Calibri" w:hAnsi="Calibri" w:cs="Calibri"/>
          <w:sz w:val="22"/>
          <w:szCs w:val="22"/>
        </w:rPr>
        <w:t>…)</w:t>
      </w:r>
    </w:p>
    <w:p w14:paraId="5077A936" w14:textId="16D88F1B" w:rsidR="00AE3163" w:rsidRPr="009D6808" w:rsidRDefault="00AE3163" w:rsidP="00AE3163">
      <w:pPr>
        <w:rPr>
          <w:b/>
          <w:bCs/>
          <w:sz w:val="24"/>
        </w:rPr>
      </w:pPr>
      <w:r w:rsidRPr="009D6808">
        <w:rPr>
          <w:b/>
          <w:bCs/>
          <w:sz w:val="24"/>
        </w:rPr>
        <w:t xml:space="preserve">Energy, Oil &amp; Gas </w:t>
      </w:r>
    </w:p>
    <w:p w14:paraId="104EC1F2" w14:textId="188263A0" w:rsidR="00AE3163" w:rsidRPr="00D41C54" w:rsidRDefault="00A70BAE" w:rsidP="00A70BAE">
      <w:pPr>
        <w:jc w:val="both"/>
        <w:rPr>
          <w:rFonts w:cstheme="minorHAnsi"/>
          <w:sz w:val="22"/>
          <w:szCs w:val="22"/>
        </w:rPr>
      </w:pPr>
      <w:r w:rsidRPr="00D41C54">
        <w:rPr>
          <w:rFonts w:ascii="Calibri" w:hAnsi="Calibri" w:cs="Calibri"/>
          <w:sz w:val="22"/>
          <w:szCs w:val="22"/>
        </w:rPr>
        <w:t xml:space="preserve">He has dealt with disputes relating to </w:t>
      </w:r>
      <w:r w:rsidR="00B24763" w:rsidRPr="00D41C54">
        <w:rPr>
          <w:rFonts w:cstheme="minorHAnsi"/>
          <w:sz w:val="22"/>
          <w:szCs w:val="22"/>
          <w:shd w:val="clear" w:color="auto" w:fill="FFFFFF"/>
        </w:rPr>
        <w:t>operational issues for major mines and milling operations for a variety of metals (gold, copper and iron ore) as well as exploration and development of oil and gas pipelines</w:t>
      </w:r>
      <w:r w:rsidRPr="00D41C54">
        <w:rPr>
          <w:rFonts w:cstheme="minorHAnsi"/>
          <w:sz w:val="22"/>
          <w:szCs w:val="22"/>
          <w:shd w:val="clear" w:color="auto" w:fill="FFFFFF"/>
        </w:rPr>
        <w:t>, as well as disputes</w:t>
      </w:r>
      <w:r w:rsidR="00853A98" w:rsidRPr="00D41C54">
        <w:rPr>
          <w:rFonts w:cstheme="minorHAnsi"/>
          <w:sz w:val="22"/>
          <w:szCs w:val="22"/>
          <w:shd w:val="clear" w:color="auto" w:fill="FFFFFF"/>
        </w:rPr>
        <w:t xml:space="preserve"> relating to royalty, pricing and swap dispute</w:t>
      </w:r>
      <w:r w:rsidR="006118D6" w:rsidRPr="00D41C54">
        <w:rPr>
          <w:rFonts w:cstheme="minorHAnsi"/>
          <w:sz w:val="22"/>
          <w:szCs w:val="22"/>
          <w:shd w:val="clear" w:color="auto" w:fill="FFFFFF"/>
        </w:rPr>
        <w:t>s.</w:t>
      </w:r>
      <w:r w:rsidR="00853A98" w:rsidRPr="00D41C54">
        <w:rPr>
          <w:rFonts w:cstheme="minorHAnsi"/>
          <w:sz w:val="22"/>
          <w:szCs w:val="22"/>
          <w:shd w:val="clear" w:color="auto" w:fill="FFFFFF"/>
        </w:rPr>
        <w:t xml:space="preserve"> His energy experience includes new wind technology developments and operations and related power purchase agreements.   </w:t>
      </w:r>
    </w:p>
    <w:p w14:paraId="659F5E25" w14:textId="761B7B20" w:rsidR="00AE3163" w:rsidRPr="009D6808" w:rsidRDefault="00AE3163" w:rsidP="00AE3163">
      <w:pPr>
        <w:rPr>
          <w:b/>
          <w:bCs/>
          <w:sz w:val="24"/>
        </w:rPr>
      </w:pPr>
      <w:r w:rsidRPr="009D6808">
        <w:rPr>
          <w:b/>
          <w:bCs/>
          <w:sz w:val="24"/>
        </w:rPr>
        <w:t>Mergers, Acquisitions, Shareholder &amp; Partnership Disputes</w:t>
      </w:r>
    </w:p>
    <w:p w14:paraId="2628571E" w14:textId="6FC6D8D8" w:rsidR="009B1026" w:rsidRPr="00D41C54" w:rsidRDefault="00A70BAE" w:rsidP="00A70BAE">
      <w:pPr>
        <w:jc w:val="both"/>
        <w:rPr>
          <w:rFonts w:ascii="Calibri" w:hAnsi="Calibri" w:cs="Calibri"/>
          <w:sz w:val="22"/>
          <w:szCs w:val="22"/>
        </w:rPr>
      </w:pPr>
      <w:r w:rsidRPr="00D41C54">
        <w:rPr>
          <w:rFonts w:ascii="Calibri" w:hAnsi="Calibri" w:cs="Calibri"/>
          <w:sz w:val="22"/>
          <w:szCs w:val="22"/>
        </w:rPr>
        <w:t>Jean-François has been acting as counsel or arbitrator in disputes relating to b</w:t>
      </w:r>
      <w:r w:rsidR="009B1026" w:rsidRPr="00D41C54">
        <w:rPr>
          <w:rFonts w:ascii="Calibri" w:hAnsi="Calibri" w:cs="Calibri"/>
          <w:sz w:val="22"/>
          <w:szCs w:val="22"/>
        </w:rPr>
        <w:t>reaches of shareholder agreements and memorandum of articles, breach of directors’ duties, breach of Joint Venture agreements, share valuations and buy-outs as well post M&amp;A disputes.</w:t>
      </w:r>
    </w:p>
    <w:p w14:paraId="405575D7" w14:textId="76B728FD" w:rsidR="00AE3163" w:rsidRPr="009D6808" w:rsidRDefault="00AE3163" w:rsidP="00AE3163">
      <w:pPr>
        <w:rPr>
          <w:b/>
          <w:bCs/>
          <w:sz w:val="24"/>
        </w:rPr>
      </w:pPr>
      <w:r w:rsidRPr="009D6808">
        <w:rPr>
          <w:b/>
          <w:bCs/>
          <w:sz w:val="24"/>
        </w:rPr>
        <w:t xml:space="preserve">Construction, Engineering &amp; Infrastructure </w:t>
      </w:r>
    </w:p>
    <w:p w14:paraId="2ADFBA32" w14:textId="4F3B7F0B" w:rsidR="00AE3163" w:rsidRPr="00D41C54" w:rsidRDefault="00A70BAE" w:rsidP="00A70BAE">
      <w:pPr>
        <w:tabs>
          <w:tab w:val="left" w:pos="6075"/>
        </w:tabs>
        <w:jc w:val="both"/>
        <w:rPr>
          <w:rFonts w:ascii="Calibri" w:hAnsi="Calibri" w:cs="Calibri"/>
          <w:sz w:val="22"/>
          <w:szCs w:val="22"/>
        </w:rPr>
      </w:pPr>
      <w:r w:rsidRPr="00D41C54">
        <w:rPr>
          <w:rFonts w:ascii="Calibri" w:hAnsi="Calibri" w:cs="Calibri"/>
          <w:sz w:val="22"/>
          <w:szCs w:val="22"/>
        </w:rPr>
        <w:t xml:space="preserve">His construction experience includes several arbitration proceedings </w:t>
      </w:r>
      <w:r w:rsidR="00704F6B" w:rsidRPr="00D41C54">
        <w:rPr>
          <w:rFonts w:ascii="Calibri" w:hAnsi="Calibri" w:cs="Calibri"/>
          <w:sz w:val="22"/>
          <w:szCs w:val="22"/>
        </w:rPr>
        <w:t>dealing with defects, delay, cost overruns, liquidated damages, misrepresentation, negligence, payment default, breach of contract and termination</w:t>
      </w:r>
      <w:r w:rsidRPr="00D41C54">
        <w:rPr>
          <w:rFonts w:ascii="Calibri" w:hAnsi="Calibri" w:cs="Calibri"/>
          <w:sz w:val="22"/>
          <w:szCs w:val="22"/>
        </w:rPr>
        <w:t>, mainly in connection with construction sites in Africa</w:t>
      </w:r>
      <w:r w:rsidR="00704F6B" w:rsidRPr="00D41C54">
        <w:rPr>
          <w:rFonts w:ascii="Calibri" w:hAnsi="Calibri" w:cs="Calibri"/>
          <w:sz w:val="22"/>
          <w:szCs w:val="22"/>
        </w:rPr>
        <w:t>.</w:t>
      </w:r>
    </w:p>
    <w:p w14:paraId="731FFCDC" w14:textId="34ADDAF2" w:rsidR="00A70BAE" w:rsidRPr="009D6808" w:rsidRDefault="00F222DE" w:rsidP="005B100E">
      <w:pPr>
        <w:pStyle w:val="Heading2"/>
        <w:rPr>
          <w:b/>
          <w:bCs/>
          <w:color w:val="auto"/>
          <w:sz w:val="24"/>
          <w:szCs w:val="24"/>
        </w:rPr>
      </w:pPr>
      <w:r w:rsidRPr="009D6808">
        <w:rPr>
          <w:b/>
          <w:bCs/>
          <w:color w:val="auto"/>
          <w:sz w:val="24"/>
          <w:szCs w:val="24"/>
        </w:rPr>
        <w:t>Finance</w:t>
      </w:r>
      <w:r w:rsidR="00E463B7" w:rsidRPr="009D6808">
        <w:rPr>
          <w:b/>
          <w:bCs/>
          <w:color w:val="auto"/>
          <w:sz w:val="24"/>
          <w:szCs w:val="24"/>
        </w:rPr>
        <w:t xml:space="preserve"> and Insurance</w:t>
      </w:r>
    </w:p>
    <w:p w14:paraId="71C215A2" w14:textId="77777777" w:rsidR="00A70BAE" w:rsidRDefault="00A70BAE" w:rsidP="00DF23D8">
      <w:pPr>
        <w:spacing w:after="0"/>
      </w:pPr>
    </w:p>
    <w:p w14:paraId="5013975F" w14:textId="5FFDDD45" w:rsidR="00DF23D8" w:rsidRPr="00D67202" w:rsidRDefault="00DF23D8" w:rsidP="00BD5CEC">
      <w:pPr>
        <w:spacing w:after="0"/>
        <w:jc w:val="both"/>
        <w:rPr>
          <w:sz w:val="22"/>
          <w:szCs w:val="22"/>
          <w:lang w:val="en-US"/>
        </w:rPr>
      </w:pPr>
      <w:r w:rsidRPr="00D67202">
        <w:rPr>
          <w:sz w:val="22"/>
          <w:szCs w:val="22"/>
          <w:lang w:val="en-US"/>
        </w:rPr>
        <w:t>Jean-François has been acting as counsel or arbitrator</w:t>
      </w:r>
      <w:r w:rsidR="0077363F" w:rsidRPr="00D67202">
        <w:rPr>
          <w:sz w:val="22"/>
          <w:szCs w:val="22"/>
          <w:lang w:val="en-US"/>
        </w:rPr>
        <w:t xml:space="preserve"> </w:t>
      </w:r>
      <w:r w:rsidR="009D6808" w:rsidRPr="00D67202">
        <w:rPr>
          <w:sz w:val="22"/>
          <w:szCs w:val="22"/>
          <w:lang w:val="en-US"/>
        </w:rPr>
        <w:t>i</w:t>
      </w:r>
      <w:r w:rsidR="0077363F" w:rsidRPr="00D67202">
        <w:rPr>
          <w:sz w:val="22"/>
          <w:szCs w:val="22"/>
          <w:lang w:val="en-US"/>
        </w:rPr>
        <w:t xml:space="preserve">n multiple cases involving the interpretation or implementation </w:t>
      </w:r>
      <w:r w:rsidR="00CC7EC4" w:rsidRPr="00D67202">
        <w:rPr>
          <w:sz w:val="22"/>
          <w:szCs w:val="22"/>
          <w:lang w:val="en-US"/>
        </w:rPr>
        <w:t>of insurance policies. He has in particular been counsel to the insurers of the Zaventem</w:t>
      </w:r>
      <w:r w:rsidR="00BD5CEC" w:rsidRPr="00D67202">
        <w:rPr>
          <w:sz w:val="22"/>
          <w:szCs w:val="22"/>
          <w:lang w:val="en-US"/>
        </w:rPr>
        <w:t xml:space="preserve"> hangar fire of 2006, from 2006 to 2011.</w:t>
      </w:r>
    </w:p>
    <w:p w14:paraId="327607C2" w14:textId="77777777" w:rsidR="005A3409" w:rsidRPr="00D67202" w:rsidRDefault="005A3409" w:rsidP="00BD5CEC">
      <w:pPr>
        <w:spacing w:after="0"/>
        <w:jc w:val="both"/>
        <w:rPr>
          <w:sz w:val="22"/>
          <w:szCs w:val="22"/>
          <w:lang w:val="en-US"/>
        </w:rPr>
      </w:pPr>
    </w:p>
    <w:p w14:paraId="298BFA21" w14:textId="28BBD05B" w:rsidR="005A3409" w:rsidRPr="00D67202" w:rsidRDefault="005A3409" w:rsidP="00BD5CEC">
      <w:pPr>
        <w:spacing w:after="0"/>
        <w:jc w:val="both"/>
        <w:rPr>
          <w:sz w:val="22"/>
          <w:szCs w:val="22"/>
          <w:lang w:val="en-US"/>
        </w:rPr>
      </w:pPr>
      <w:r w:rsidRPr="00D67202">
        <w:rPr>
          <w:sz w:val="22"/>
          <w:szCs w:val="22"/>
          <w:lang w:val="en-US"/>
        </w:rPr>
        <w:t>Jean-François has</w:t>
      </w:r>
      <w:r w:rsidR="002A78E4" w:rsidRPr="00D67202">
        <w:rPr>
          <w:sz w:val="22"/>
          <w:szCs w:val="22"/>
          <w:lang w:val="en-US"/>
        </w:rPr>
        <w:t xml:space="preserve"> also an extensive experience in finance matters. He has in particular been a member </w:t>
      </w:r>
      <w:r w:rsidR="00AF3CD7" w:rsidRPr="00D67202">
        <w:rPr>
          <w:sz w:val="22"/>
          <w:szCs w:val="22"/>
          <w:lang w:val="en-US"/>
        </w:rPr>
        <w:t xml:space="preserve">from 2019 to 2023 of the Fortis Settlement Dispute Committee deciding the recourse of the </w:t>
      </w:r>
      <w:r w:rsidR="00E463B7" w:rsidRPr="00D67202">
        <w:rPr>
          <w:sz w:val="22"/>
          <w:szCs w:val="22"/>
          <w:lang w:val="en-US"/>
        </w:rPr>
        <w:t xml:space="preserve">Fortis </w:t>
      </w:r>
      <w:r w:rsidR="00AF3CD7" w:rsidRPr="00D67202">
        <w:rPr>
          <w:sz w:val="22"/>
          <w:szCs w:val="22"/>
          <w:lang w:val="en-US"/>
        </w:rPr>
        <w:t>Shareholders against the Claim</w:t>
      </w:r>
      <w:r w:rsidR="005D7060" w:rsidRPr="00D67202">
        <w:rPr>
          <w:sz w:val="22"/>
          <w:szCs w:val="22"/>
          <w:lang w:val="en-US"/>
        </w:rPr>
        <w:t>s</w:t>
      </w:r>
      <w:r w:rsidR="00AF3CD7" w:rsidRPr="00D67202">
        <w:rPr>
          <w:sz w:val="22"/>
          <w:szCs w:val="22"/>
          <w:lang w:val="en-US"/>
        </w:rPr>
        <w:t xml:space="preserve"> Administrator</w:t>
      </w:r>
      <w:r w:rsidR="00D02950" w:rsidRPr="00D67202">
        <w:rPr>
          <w:sz w:val="22"/>
          <w:szCs w:val="22"/>
          <w:lang w:val="en-US"/>
        </w:rPr>
        <w:t xml:space="preserve"> in the allocation of the 1,3 billion EUR compensation granted </w:t>
      </w:r>
      <w:r w:rsidR="00E463B7" w:rsidRPr="00D67202">
        <w:rPr>
          <w:sz w:val="22"/>
          <w:szCs w:val="22"/>
          <w:lang w:val="en-US"/>
        </w:rPr>
        <w:t>by</w:t>
      </w:r>
      <w:r w:rsidR="00681B84" w:rsidRPr="00D67202">
        <w:rPr>
          <w:sz w:val="22"/>
          <w:szCs w:val="22"/>
          <w:lang w:val="en-US"/>
        </w:rPr>
        <w:t xml:space="preserve"> the Fortis Settlement Agreement.</w:t>
      </w:r>
    </w:p>
    <w:p w14:paraId="5D4DA375" w14:textId="77777777" w:rsidR="00DF23D8" w:rsidRPr="002A78E4" w:rsidRDefault="00DF23D8" w:rsidP="00A70BAE">
      <w:pPr>
        <w:rPr>
          <w:lang w:val="en-US"/>
        </w:rPr>
      </w:pPr>
    </w:p>
    <w:p w14:paraId="6FC08B84" w14:textId="40B20DB1" w:rsidR="00F279D9" w:rsidRPr="001B4211" w:rsidRDefault="001B4211" w:rsidP="005B100E">
      <w:pPr>
        <w:pStyle w:val="Heading2"/>
        <w:rPr>
          <w:color w:val="auto"/>
          <w:sz w:val="28"/>
          <w:szCs w:val="28"/>
          <w:lang w:val="fr-BE"/>
        </w:rPr>
      </w:pPr>
      <w:r w:rsidRPr="001B4211">
        <w:rPr>
          <w:color w:val="auto"/>
          <w:sz w:val="28"/>
          <w:szCs w:val="28"/>
          <w:lang w:val="fr-BE"/>
        </w:rPr>
        <w:lastRenderedPageBreak/>
        <w:t xml:space="preserve">Selected </w:t>
      </w:r>
      <w:r w:rsidR="00D2290A" w:rsidRPr="001B4211">
        <w:rPr>
          <w:color w:val="auto"/>
          <w:sz w:val="28"/>
          <w:szCs w:val="28"/>
          <w:lang w:val="fr-BE"/>
        </w:rPr>
        <w:t>Experience</w:t>
      </w:r>
      <w:r w:rsidR="00D80095" w:rsidRPr="001B4211">
        <w:rPr>
          <w:color w:val="auto"/>
          <w:sz w:val="28"/>
          <w:szCs w:val="28"/>
          <w:lang w:val="fr-BE"/>
        </w:rPr>
        <w:br/>
      </w:r>
    </w:p>
    <w:p w14:paraId="3A7BCFD3" w14:textId="18477F81" w:rsidR="00313DD2" w:rsidRPr="00DF23D8" w:rsidRDefault="00313DD2" w:rsidP="00610788">
      <w:pPr>
        <w:jc w:val="both"/>
        <w:rPr>
          <w:b/>
          <w:bCs/>
          <w:lang w:val="fr-BE"/>
        </w:rPr>
      </w:pPr>
      <w:r w:rsidRPr="00DF23D8">
        <w:rPr>
          <w:b/>
          <w:bCs/>
          <w:lang w:val="fr-BE"/>
        </w:rPr>
        <w:t xml:space="preserve">Arbitrator </w:t>
      </w:r>
    </w:p>
    <w:p w14:paraId="5A94AB80" w14:textId="4CE0D3D4" w:rsidR="00313DD2" w:rsidRPr="005B100E" w:rsidRDefault="00313DD2" w:rsidP="00313DD2">
      <w:pPr>
        <w:pStyle w:val="ListParagraph"/>
        <w:numPr>
          <w:ilvl w:val="0"/>
          <w:numId w:val="2"/>
        </w:numPr>
        <w:jc w:val="both"/>
        <w:rPr>
          <w:lang w:val="en-US"/>
        </w:rPr>
      </w:pPr>
      <w:r w:rsidRPr="005B100E">
        <w:rPr>
          <w:lang w:val="en-US"/>
        </w:rPr>
        <w:t xml:space="preserve">Chairman of the Arbitral </w:t>
      </w:r>
      <w:r w:rsidR="005B100E" w:rsidRPr="005B100E">
        <w:rPr>
          <w:lang w:val="en-US"/>
        </w:rPr>
        <w:t>t</w:t>
      </w:r>
      <w:r w:rsidR="00F279D9" w:rsidRPr="005B100E">
        <w:rPr>
          <w:lang w:val="en-US"/>
        </w:rPr>
        <w:t>ribunal</w:t>
      </w:r>
      <w:r w:rsidRPr="005B100E">
        <w:rPr>
          <w:lang w:val="en-US"/>
        </w:rPr>
        <w:t xml:space="preserve"> in ICC proceedings deciding a dispute between a Moroccan company and a Qatari company about the termination of a construction contract of a holiday resort in Morocco</w:t>
      </w:r>
    </w:p>
    <w:p w14:paraId="3132F4BF" w14:textId="1ACC1074" w:rsidR="00313DD2" w:rsidRPr="005B100E" w:rsidRDefault="00313DD2" w:rsidP="00313DD2">
      <w:pPr>
        <w:pStyle w:val="ListParagraph"/>
        <w:numPr>
          <w:ilvl w:val="0"/>
          <w:numId w:val="2"/>
        </w:numPr>
        <w:jc w:val="both"/>
        <w:rPr>
          <w:lang w:val="en-US"/>
        </w:rPr>
      </w:pPr>
      <w:r w:rsidRPr="005B100E">
        <w:rPr>
          <w:lang w:val="en-US"/>
        </w:rPr>
        <w:t xml:space="preserve">Sole arbitrator in CEPANI </w:t>
      </w:r>
      <w:r w:rsidR="007A4898">
        <w:rPr>
          <w:lang w:val="en-US"/>
        </w:rPr>
        <w:t xml:space="preserve"> </w:t>
      </w:r>
      <w:r w:rsidRPr="005B100E">
        <w:rPr>
          <w:lang w:val="en-US"/>
        </w:rPr>
        <w:t>proceedings deciding a dispute between a Swiss company and a Hong</w:t>
      </w:r>
      <w:r w:rsidR="00F279D9" w:rsidRPr="005B100E">
        <w:rPr>
          <w:lang w:val="en-US"/>
        </w:rPr>
        <w:t xml:space="preserve"> </w:t>
      </w:r>
      <w:r w:rsidRPr="005B100E">
        <w:rPr>
          <w:lang w:val="en-US"/>
        </w:rPr>
        <w:t>Kong company about the manufacture and sale of infant food products for the Chinese market</w:t>
      </w:r>
    </w:p>
    <w:p w14:paraId="6B5EF5F5" w14:textId="50A6E2AE" w:rsidR="00313DD2" w:rsidRPr="005B100E" w:rsidRDefault="00313DD2" w:rsidP="00313DD2">
      <w:pPr>
        <w:pStyle w:val="ListParagraph"/>
        <w:numPr>
          <w:ilvl w:val="0"/>
          <w:numId w:val="2"/>
        </w:numPr>
        <w:jc w:val="both"/>
        <w:rPr>
          <w:lang w:val="en-US"/>
        </w:rPr>
      </w:pPr>
      <w:r w:rsidRPr="005B100E">
        <w:rPr>
          <w:lang w:val="en-US"/>
        </w:rPr>
        <w:t>Arbitrator in a Chambre de Commerce du Luxembourg proceedings deciding a dispute between former partners in international real estate operations</w:t>
      </w:r>
    </w:p>
    <w:p w14:paraId="0DB85DDE" w14:textId="387A7DAD" w:rsidR="00313DD2" w:rsidRPr="005B100E" w:rsidRDefault="00313DD2" w:rsidP="00313DD2">
      <w:pPr>
        <w:pStyle w:val="ListParagraph"/>
        <w:numPr>
          <w:ilvl w:val="0"/>
          <w:numId w:val="2"/>
        </w:numPr>
        <w:jc w:val="both"/>
        <w:rPr>
          <w:lang w:val="en-US"/>
        </w:rPr>
      </w:pPr>
      <w:r w:rsidRPr="005B100E">
        <w:rPr>
          <w:lang w:val="en-US"/>
        </w:rPr>
        <w:t>Arbitrator in CEPANI proceedings deciding a dispute between two leading entities of the steel industry about the maintenance of a factory in Belgium</w:t>
      </w:r>
    </w:p>
    <w:p w14:paraId="146BC9E0" w14:textId="53E51937" w:rsidR="00313DD2" w:rsidRPr="005B100E" w:rsidRDefault="00313DD2" w:rsidP="00F279D9">
      <w:pPr>
        <w:pStyle w:val="ListParagraph"/>
        <w:numPr>
          <w:ilvl w:val="0"/>
          <w:numId w:val="2"/>
        </w:numPr>
        <w:jc w:val="both"/>
        <w:rPr>
          <w:lang w:val="en-US"/>
        </w:rPr>
      </w:pPr>
      <w:r w:rsidRPr="005B100E">
        <w:rPr>
          <w:lang w:val="en-US"/>
        </w:rPr>
        <w:t>Arbitrator in CEPANI proceedings deciding a post-acquisition dispute in the food sector</w:t>
      </w:r>
    </w:p>
    <w:p w14:paraId="6E19AAD8" w14:textId="2C20C439" w:rsidR="00313DD2" w:rsidRPr="005B100E" w:rsidRDefault="00313DD2" w:rsidP="00F279D9">
      <w:pPr>
        <w:pStyle w:val="ListParagraph"/>
        <w:numPr>
          <w:ilvl w:val="0"/>
          <w:numId w:val="2"/>
        </w:numPr>
        <w:jc w:val="both"/>
        <w:rPr>
          <w:lang w:val="en-US"/>
        </w:rPr>
      </w:pPr>
      <w:r w:rsidRPr="005B100E">
        <w:rPr>
          <w:lang w:val="en-US"/>
        </w:rPr>
        <w:t xml:space="preserve">Sole arbitrator in ICC proceedings deciding a dispute between a French industrial actor and an African State entity about the construction and renovation of an industrial facility in West-Africa </w:t>
      </w:r>
    </w:p>
    <w:p w14:paraId="707AC106" w14:textId="553B4A3A" w:rsidR="00313DD2" w:rsidRPr="005B100E" w:rsidRDefault="00313DD2" w:rsidP="00F279D9">
      <w:pPr>
        <w:pStyle w:val="ListParagraph"/>
        <w:numPr>
          <w:ilvl w:val="0"/>
          <w:numId w:val="2"/>
        </w:numPr>
        <w:jc w:val="both"/>
        <w:rPr>
          <w:lang w:val="en-US"/>
        </w:rPr>
      </w:pPr>
      <w:r w:rsidRPr="005B100E">
        <w:rPr>
          <w:lang w:val="en-US"/>
        </w:rPr>
        <w:t>Chairman of the Arbitral tribunal in ad hoc proceedings deciding a dispute about the scope of an insurance policy covering the loss of receivables</w:t>
      </w:r>
    </w:p>
    <w:p w14:paraId="6C255B36" w14:textId="73FE132B" w:rsidR="00313DD2" w:rsidRPr="005B100E" w:rsidRDefault="00313DD2" w:rsidP="00F279D9">
      <w:pPr>
        <w:pStyle w:val="ListParagraph"/>
        <w:numPr>
          <w:ilvl w:val="0"/>
          <w:numId w:val="2"/>
        </w:numPr>
        <w:jc w:val="both"/>
        <w:rPr>
          <w:lang w:val="en-US"/>
        </w:rPr>
      </w:pPr>
      <w:r w:rsidRPr="005B100E">
        <w:rPr>
          <w:lang w:val="en-US"/>
        </w:rPr>
        <w:t>Chairman of the Arbitral tribunal in ad hoc proceedings deciding a claim for rescission of the sale of the shares of an industrial company for fraud</w:t>
      </w:r>
    </w:p>
    <w:p w14:paraId="717069E6" w14:textId="12F2D9A1" w:rsidR="00313DD2" w:rsidRPr="005B100E" w:rsidRDefault="00313DD2" w:rsidP="00F279D9">
      <w:pPr>
        <w:pStyle w:val="ListParagraph"/>
        <w:numPr>
          <w:ilvl w:val="0"/>
          <w:numId w:val="2"/>
        </w:numPr>
        <w:jc w:val="both"/>
        <w:rPr>
          <w:lang w:val="en-US"/>
        </w:rPr>
      </w:pPr>
      <w:r w:rsidRPr="005B100E">
        <w:rPr>
          <w:lang w:val="en-US"/>
        </w:rPr>
        <w:t xml:space="preserve">Sole arbitrator in ICC proceedings deciding a contractual dispute between a service provider and the manufacturer and seller of </w:t>
      </w:r>
      <w:r w:rsidR="005D7060" w:rsidRPr="005B100E">
        <w:rPr>
          <w:lang w:val="en-US"/>
        </w:rPr>
        <w:t>a</w:t>
      </w:r>
      <w:r w:rsidRPr="005B100E">
        <w:rPr>
          <w:lang w:val="en-US"/>
        </w:rPr>
        <w:t xml:space="preserve"> helicopter</w:t>
      </w:r>
    </w:p>
    <w:p w14:paraId="6B30235C" w14:textId="3C8AA397" w:rsidR="00313DD2" w:rsidRPr="005B100E" w:rsidRDefault="00313DD2" w:rsidP="00F279D9">
      <w:pPr>
        <w:pStyle w:val="ListParagraph"/>
        <w:numPr>
          <w:ilvl w:val="0"/>
          <w:numId w:val="2"/>
        </w:numPr>
        <w:jc w:val="both"/>
        <w:rPr>
          <w:lang w:val="en-US"/>
        </w:rPr>
      </w:pPr>
      <w:r w:rsidRPr="005B100E">
        <w:rPr>
          <w:lang w:val="en-US"/>
        </w:rPr>
        <w:t>Chairman of the Arbitral tribunal in ICC proceedings opposing insurance companies to the manufacturer of an helicopter for the recovery of the damages resulting from its crash</w:t>
      </w:r>
    </w:p>
    <w:p w14:paraId="3DBCF2CF" w14:textId="75C244FE" w:rsidR="00313DD2" w:rsidRPr="005B100E" w:rsidRDefault="00313DD2" w:rsidP="00F279D9">
      <w:pPr>
        <w:pStyle w:val="ListParagraph"/>
        <w:numPr>
          <w:ilvl w:val="0"/>
          <w:numId w:val="2"/>
        </w:numPr>
        <w:jc w:val="both"/>
        <w:rPr>
          <w:lang w:val="en-US"/>
        </w:rPr>
      </w:pPr>
      <w:r w:rsidRPr="005B100E">
        <w:rPr>
          <w:lang w:val="en-US"/>
        </w:rPr>
        <w:t>Chairman of the Arbitral tribunal in ICC proceedings opposing French industrial companies in a warranty claim about asbestos related diseases and their financial consequences</w:t>
      </w:r>
    </w:p>
    <w:p w14:paraId="3B8191BD" w14:textId="3EADFD1A" w:rsidR="00C5674F" w:rsidRDefault="00C5674F" w:rsidP="00610788">
      <w:pPr>
        <w:pStyle w:val="ListParagraph"/>
        <w:numPr>
          <w:ilvl w:val="0"/>
          <w:numId w:val="2"/>
        </w:numPr>
        <w:jc w:val="both"/>
        <w:rPr>
          <w:lang w:val="en-US"/>
        </w:rPr>
      </w:pPr>
      <w:r>
        <w:rPr>
          <w:lang w:val="en-US"/>
        </w:rPr>
        <w:t>Chairman of the Arbitral tribunal in a CEPANI sports arbitration deciding</w:t>
      </w:r>
      <w:r w:rsidR="00A37E29">
        <w:rPr>
          <w:lang w:val="en-US"/>
        </w:rPr>
        <w:t xml:space="preserve"> a claim of a football club against a decision of the Belgian football Federation</w:t>
      </w:r>
    </w:p>
    <w:p w14:paraId="3679D1DE" w14:textId="6E260A8F" w:rsidR="00DF64F4" w:rsidRPr="00C5376C" w:rsidRDefault="00313DD2" w:rsidP="00C5376C">
      <w:pPr>
        <w:pStyle w:val="ListParagraph"/>
        <w:numPr>
          <w:ilvl w:val="0"/>
          <w:numId w:val="2"/>
        </w:numPr>
        <w:jc w:val="both"/>
        <w:rPr>
          <w:lang w:val="en-US"/>
        </w:rPr>
      </w:pPr>
      <w:r w:rsidRPr="005B100E">
        <w:rPr>
          <w:lang w:val="en-US"/>
        </w:rPr>
        <w:t>Emergency Arbitrator in an ICC construction dispute opposing a Canadian group and an African Stat</w:t>
      </w:r>
      <w:r w:rsidR="00F279D9" w:rsidRPr="005B100E">
        <w:rPr>
          <w:lang w:val="en-US"/>
        </w:rPr>
        <w:t>e</w:t>
      </w:r>
    </w:p>
    <w:p w14:paraId="08537283" w14:textId="3481D6BE" w:rsidR="00DF64F4" w:rsidRDefault="00DF64F4" w:rsidP="00610788">
      <w:pPr>
        <w:pStyle w:val="ListParagraph"/>
        <w:numPr>
          <w:ilvl w:val="0"/>
          <w:numId w:val="2"/>
        </w:numPr>
        <w:jc w:val="both"/>
        <w:rPr>
          <w:lang w:val="en-US"/>
        </w:rPr>
      </w:pPr>
      <w:r>
        <w:rPr>
          <w:lang w:val="en-US"/>
        </w:rPr>
        <w:t>Arbitrator in DIAC proceedings deciding the claim</w:t>
      </w:r>
      <w:r w:rsidR="00FC7620">
        <w:rPr>
          <w:lang w:val="en-US"/>
        </w:rPr>
        <w:t xml:space="preserve"> of the lessor of an aircraft against the lessee for breach of the lease agreement</w:t>
      </w:r>
    </w:p>
    <w:p w14:paraId="575AB8D8" w14:textId="7F6A0D0C" w:rsidR="00FC7620" w:rsidRDefault="00FC7620" w:rsidP="00610788">
      <w:pPr>
        <w:pStyle w:val="ListParagraph"/>
        <w:numPr>
          <w:ilvl w:val="0"/>
          <w:numId w:val="2"/>
        </w:numPr>
        <w:jc w:val="both"/>
        <w:rPr>
          <w:lang w:val="en-US"/>
        </w:rPr>
      </w:pPr>
      <w:r>
        <w:rPr>
          <w:lang w:val="en-US"/>
        </w:rPr>
        <w:t>Arbitrat</w:t>
      </w:r>
      <w:r w:rsidR="0085051B">
        <w:rPr>
          <w:lang w:val="en-US"/>
        </w:rPr>
        <w:t>or</w:t>
      </w:r>
      <w:r>
        <w:rPr>
          <w:lang w:val="en-US"/>
        </w:rPr>
        <w:t xml:space="preserve"> in OHADA proceedings in a </w:t>
      </w:r>
      <w:r w:rsidR="005D7060">
        <w:rPr>
          <w:lang w:val="en-US"/>
        </w:rPr>
        <w:t>post-acquisition</w:t>
      </w:r>
      <w:r>
        <w:rPr>
          <w:lang w:val="en-US"/>
        </w:rPr>
        <w:t xml:space="preserve"> dispute</w:t>
      </w:r>
    </w:p>
    <w:p w14:paraId="4F6F51AA" w14:textId="2A9397E4" w:rsidR="00E45AB1" w:rsidRDefault="00E45AB1" w:rsidP="00610788">
      <w:pPr>
        <w:pStyle w:val="ListParagraph"/>
        <w:numPr>
          <w:ilvl w:val="0"/>
          <w:numId w:val="2"/>
        </w:numPr>
        <w:jc w:val="both"/>
        <w:rPr>
          <w:lang w:val="en-US"/>
        </w:rPr>
      </w:pPr>
      <w:r>
        <w:rPr>
          <w:lang w:val="en-US"/>
        </w:rPr>
        <w:t xml:space="preserve">Chairman of an ad hoc </w:t>
      </w:r>
      <w:r w:rsidR="005D7060">
        <w:rPr>
          <w:lang w:val="en-US"/>
        </w:rPr>
        <w:t>A</w:t>
      </w:r>
      <w:r>
        <w:rPr>
          <w:lang w:val="en-US"/>
        </w:rPr>
        <w:t xml:space="preserve">rbitral tribunal deciding a claim </w:t>
      </w:r>
      <w:r w:rsidR="0020298C">
        <w:rPr>
          <w:lang w:val="en-US"/>
        </w:rPr>
        <w:t>of an insured against its insurance company for indemnification of a</w:t>
      </w:r>
      <w:r w:rsidR="00FB3B05">
        <w:rPr>
          <w:lang w:val="en-US"/>
        </w:rPr>
        <w:t xml:space="preserve"> major</w:t>
      </w:r>
      <w:r w:rsidR="0020298C">
        <w:rPr>
          <w:lang w:val="en-US"/>
        </w:rPr>
        <w:t xml:space="preserve"> loss in an industrial building resulting</w:t>
      </w:r>
      <w:r w:rsidR="00FB3B05">
        <w:rPr>
          <w:lang w:val="en-US"/>
        </w:rPr>
        <w:t xml:space="preserve"> from a water leakage</w:t>
      </w:r>
    </w:p>
    <w:p w14:paraId="7F6D2939" w14:textId="566FF8AB" w:rsidR="00FB3B05" w:rsidRDefault="00FB3B05" w:rsidP="00610788">
      <w:pPr>
        <w:pStyle w:val="ListParagraph"/>
        <w:numPr>
          <w:ilvl w:val="0"/>
          <w:numId w:val="2"/>
        </w:numPr>
        <w:jc w:val="both"/>
        <w:rPr>
          <w:lang w:val="en-US"/>
        </w:rPr>
      </w:pPr>
      <w:r>
        <w:rPr>
          <w:lang w:val="en-US"/>
        </w:rPr>
        <w:t xml:space="preserve">Chairman </w:t>
      </w:r>
      <w:r w:rsidR="00D41C78">
        <w:rPr>
          <w:lang w:val="en-US"/>
        </w:rPr>
        <w:t>of the Arbitral tribunal in ICC proceedings deciding a claim in a construction dispute about a construction in Algeria</w:t>
      </w:r>
    </w:p>
    <w:p w14:paraId="1ED2869C" w14:textId="77777777" w:rsidR="00EB6069" w:rsidRDefault="00EB6069" w:rsidP="00EB6069">
      <w:pPr>
        <w:pStyle w:val="ListParagraph"/>
        <w:jc w:val="both"/>
        <w:rPr>
          <w:lang w:val="en-US"/>
        </w:rPr>
      </w:pPr>
    </w:p>
    <w:p w14:paraId="7E35597D" w14:textId="72115ABA" w:rsidR="007A4898" w:rsidRPr="00EB6069" w:rsidRDefault="007A4898" w:rsidP="00EB6069">
      <w:pPr>
        <w:jc w:val="both"/>
        <w:rPr>
          <w:b/>
          <w:bCs/>
          <w:lang w:val="en-US"/>
        </w:rPr>
      </w:pPr>
      <w:r w:rsidRPr="00EB6069">
        <w:rPr>
          <w:b/>
          <w:bCs/>
          <w:lang w:val="en-US"/>
        </w:rPr>
        <w:t>Third party binding advisor</w:t>
      </w:r>
    </w:p>
    <w:p w14:paraId="1F1EB4E6" w14:textId="01B125FF" w:rsidR="007A4898" w:rsidRDefault="007A4898" w:rsidP="00610788">
      <w:pPr>
        <w:pStyle w:val="ListParagraph"/>
        <w:numPr>
          <w:ilvl w:val="0"/>
          <w:numId w:val="2"/>
        </w:numPr>
        <w:jc w:val="both"/>
        <w:rPr>
          <w:lang w:val="en-US"/>
        </w:rPr>
      </w:pPr>
      <w:r>
        <w:rPr>
          <w:lang w:val="en-US"/>
        </w:rPr>
        <w:t xml:space="preserve">Member of the Fortis Settlement Dispute Committee from </w:t>
      </w:r>
      <w:r w:rsidR="0085051B">
        <w:rPr>
          <w:lang w:val="en-US"/>
        </w:rPr>
        <w:t xml:space="preserve">2019 to 2023 </w:t>
      </w:r>
      <w:r w:rsidR="005D7060">
        <w:rPr>
          <w:lang w:val="en-US"/>
        </w:rPr>
        <w:t>(more</w:t>
      </w:r>
      <w:r w:rsidR="0085051B">
        <w:rPr>
          <w:lang w:val="en-US"/>
        </w:rPr>
        <w:t xml:space="preserve"> than 150 cases)</w:t>
      </w:r>
    </w:p>
    <w:p w14:paraId="444B66D8" w14:textId="77777777" w:rsidR="005D7060" w:rsidRDefault="005D7060" w:rsidP="00312E17">
      <w:pPr>
        <w:jc w:val="both"/>
        <w:rPr>
          <w:b/>
          <w:bCs/>
          <w:lang w:val="en-US"/>
        </w:rPr>
      </w:pPr>
    </w:p>
    <w:p w14:paraId="1AA60454" w14:textId="040B65C2" w:rsidR="00312E17" w:rsidRPr="00312E17" w:rsidRDefault="00312E17" w:rsidP="00312E17">
      <w:pPr>
        <w:jc w:val="both"/>
        <w:rPr>
          <w:b/>
          <w:bCs/>
          <w:lang w:val="en-US"/>
        </w:rPr>
      </w:pPr>
      <w:r w:rsidRPr="00312E17">
        <w:rPr>
          <w:b/>
          <w:bCs/>
          <w:lang w:val="en-US"/>
        </w:rPr>
        <w:lastRenderedPageBreak/>
        <w:t xml:space="preserve">Counsel / Representative matters </w:t>
      </w:r>
    </w:p>
    <w:p w14:paraId="2C6193F7" w14:textId="63E5CFBA" w:rsidR="006869DA" w:rsidRPr="006869DA" w:rsidRDefault="006869DA" w:rsidP="006869DA">
      <w:pPr>
        <w:pStyle w:val="ListParagraph"/>
        <w:numPr>
          <w:ilvl w:val="0"/>
          <w:numId w:val="10"/>
        </w:numPr>
        <w:jc w:val="both"/>
        <w:rPr>
          <w:lang w:val="en-US"/>
        </w:rPr>
      </w:pPr>
      <w:r w:rsidRPr="006869DA">
        <w:rPr>
          <w:lang w:val="en-US"/>
        </w:rPr>
        <w:t>Representing the Belgian football Union in Belgian TAS (Tribunal Arbitral du Sport) arbitration proceedings</w:t>
      </w:r>
      <w:r w:rsidR="007A4898">
        <w:rPr>
          <w:lang w:val="en-US"/>
        </w:rPr>
        <w:t xml:space="preserve"> </w:t>
      </w:r>
    </w:p>
    <w:p w14:paraId="7059FBEB" w14:textId="7785B5F9" w:rsidR="006869DA" w:rsidRPr="006869DA" w:rsidRDefault="006869DA" w:rsidP="006869DA">
      <w:pPr>
        <w:pStyle w:val="ListParagraph"/>
        <w:numPr>
          <w:ilvl w:val="0"/>
          <w:numId w:val="10"/>
        </w:numPr>
        <w:jc w:val="both"/>
        <w:rPr>
          <w:lang w:val="en-US"/>
        </w:rPr>
      </w:pPr>
      <w:r w:rsidRPr="006869DA">
        <w:rPr>
          <w:lang w:val="en-US"/>
        </w:rPr>
        <w:t>Representing a Belgian company active in the oil sector in CEPANI arbitration proceedings deciding a contractual dispute about the transfer of a plant</w:t>
      </w:r>
    </w:p>
    <w:p w14:paraId="0B814147" w14:textId="500A94D0" w:rsidR="006869DA" w:rsidRPr="006869DA" w:rsidRDefault="006869DA" w:rsidP="006869DA">
      <w:pPr>
        <w:pStyle w:val="ListParagraph"/>
        <w:numPr>
          <w:ilvl w:val="0"/>
          <w:numId w:val="10"/>
        </w:numPr>
        <w:jc w:val="both"/>
        <w:rPr>
          <w:lang w:val="en-US"/>
        </w:rPr>
      </w:pPr>
      <w:r w:rsidRPr="006869DA">
        <w:rPr>
          <w:lang w:val="en-US"/>
        </w:rPr>
        <w:t>Representing a leading Belgian company in the energy sector in various disputes, including ICC arbitration proceedings and national courts litigation, in</w:t>
      </w:r>
      <w:r w:rsidR="005D7060">
        <w:rPr>
          <w:lang w:val="en-US"/>
        </w:rPr>
        <w:t>cluding</w:t>
      </w:r>
      <w:r w:rsidRPr="006869DA">
        <w:rPr>
          <w:lang w:val="en-US"/>
        </w:rPr>
        <w:t xml:space="preserve"> the recovery of a damage caused to power plant facility and in a complex contractual dispute about </w:t>
      </w:r>
      <w:r w:rsidR="005D7060" w:rsidRPr="006869DA">
        <w:rPr>
          <w:lang w:val="en-US"/>
        </w:rPr>
        <w:t>wind turbines</w:t>
      </w:r>
      <w:r w:rsidRPr="006869DA">
        <w:rPr>
          <w:lang w:val="en-US"/>
        </w:rPr>
        <w:t xml:space="preserve"> plants in Belgium</w:t>
      </w:r>
    </w:p>
    <w:p w14:paraId="5D343567" w14:textId="0EB66EB9" w:rsidR="006869DA" w:rsidRPr="006869DA" w:rsidRDefault="006869DA" w:rsidP="006869DA">
      <w:pPr>
        <w:pStyle w:val="ListParagraph"/>
        <w:numPr>
          <w:ilvl w:val="0"/>
          <w:numId w:val="10"/>
        </w:numPr>
        <w:jc w:val="both"/>
        <w:rPr>
          <w:lang w:val="en-US"/>
        </w:rPr>
      </w:pPr>
      <w:r w:rsidRPr="006869DA">
        <w:rPr>
          <w:lang w:val="en-US"/>
        </w:rPr>
        <w:t>Representing a British Company in ICC arbitration proceedings against an American Company about the execution of a data sharing contract in the biocides industry</w:t>
      </w:r>
    </w:p>
    <w:p w14:paraId="62B9F570" w14:textId="025AFDB6" w:rsidR="006869DA" w:rsidRPr="006869DA" w:rsidRDefault="006869DA" w:rsidP="006869DA">
      <w:pPr>
        <w:pStyle w:val="ListParagraph"/>
        <w:numPr>
          <w:ilvl w:val="0"/>
          <w:numId w:val="10"/>
        </w:numPr>
        <w:jc w:val="both"/>
        <w:rPr>
          <w:lang w:val="en-US"/>
        </w:rPr>
      </w:pPr>
      <w:r w:rsidRPr="006869DA">
        <w:rPr>
          <w:lang w:val="en-US"/>
        </w:rPr>
        <w:t>Representing a manager in Cepani arbitration proceedings in its claim against an international group active in the energy sector following the termination of the contract</w:t>
      </w:r>
    </w:p>
    <w:p w14:paraId="43D1EAB0" w14:textId="31714D94" w:rsidR="00312E17" w:rsidRPr="00312E17" w:rsidRDefault="00312E17" w:rsidP="00312E17">
      <w:pPr>
        <w:pStyle w:val="ListParagraph"/>
        <w:numPr>
          <w:ilvl w:val="0"/>
          <w:numId w:val="10"/>
        </w:numPr>
        <w:jc w:val="both"/>
        <w:rPr>
          <w:lang w:val="en-US"/>
        </w:rPr>
      </w:pPr>
      <w:r w:rsidRPr="00312E17">
        <w:rPr>
          <w:lang w:val="en-US"/>
        </w:rPr>
        <w:t>Representing a pool of insurance companies in all consequences (including civil and criminal court proceedings) of the fire of hangar 40 in Zaventem on May 2006 for which their client, the maintenance company, was deemed to be the main responsible person</w:t>
      </w:r>
    </w:p>
    <w:p w14:paraId="1C89BAEA" w14:textId="198AB4DB" w:rsidR="00312E17" w:rsidRPr="00312E17" w:rsidRDefault="00312E17" w:rsidP="00312E17">
      <w:pPr>
        <w:pStyle w:val="ListParagraph"/>
        <w:numPr>
          <w:ilvl w:val="0"/>
          <w:numId w:val="10"/>
        </w:numPr>
        <w:jc w:val="both"/>
        <w:rPr>
          <w:lang w:val="en-US"/>
        </w:rPr>
      </w:pPr>
      <w:r w:rsidRPr="00312E17">
        <w:rPr>
          <w:lang w:val="en-US"/>
        </w:rPr>
        <w:t>Representing a leading French insurance company in various losses in the aeronautical maintenance sector</w:t>
      </w:r>
    </w:p>
    <w:p w14:paraId="6F122433" w14:textId="72467DEB" w:rsidR="00312E17" w:rsidRPr="00312E17" w:rsidRDefault="00312E17" w:rsidP="00312E17">
      <w:pPr>
        <w:pStyle w:val="ListParagraph"/>
        <w:numPr>
          <w:ilvl w:val="0"/>
          <w:numId w:val="10"/>
        </w:numPr>
        <w:jc w:val="both"/>
        <w:rPr>
          <w:lang w:val="en-US"/>
        </w:rPr>
      </w:pPr>
      <w:r w:rsidRPr="00312E17">
        <w:rPr>
          <w:lang w:val="en-US"/>
        </w:rPr>
        <w:t>Representing a French group acting as General Sales and Services Agent in its dispute against an airline company for the early termination of an agency agreement</w:t>
      </w:r>
    </w:p>
    <w:p w14:paraId="754ECCA5" w14:textId="45F96AD3" w:rsidR="00312E17" w:rsidRPr="00312E17" w:rsidRDefault="00312E17" w:rsidP="00312E17">
      <w:pPr>
        <w:pStyle w:val="ListParagraph"/>
        <w:numPr>
          <w:ilvl w:val="0"/>
          <w:numId w:val="10"/>
        </w:numPr>
        <w:jc w:val="both"/>
        <w:rPr>
          <w:lang w:val="en-US"/>
        </w:rPr>
      </w:pPr>
      <w:r w:rsidRPr="00312E17">
        <w:rPr>
          <w:lang w:val="en-US"/>
        </w:rPr>
        <w:t>Representing the Belgian Federal and Investment Holding Company in multiple investments, in</w:t>
      </w:r>
      <w:r w:rsidR="005D7060">
        <w:rPr>
          <w:lang w:val="en-US"/>
        </w:rPr>
        <w:t>cluding</w:t>
      </w:r>
      <w:r w:rsidRPr="00312E17">
        <w:rPr>
          <w:lang w:val="en-US"/>
        </w:rPr>
        <w:t xml:space="preserve"> investment</w:t>
      </w:r>
      <w:r w:rsidR="005D7060">
        <w:rPr>
          <w:lang w:val="en-US"/>
        </w:rPr>
        <w:t>s</w:t>
      </w:r>
      <w:r w:rsidRPr="00312E17">
        <w:rPr>
          <w:lang w:val="en-US"/>
        </w:rPr>
        <w:t xml:space="preserve"> in foreign Funds, an investment in Euronext and investments in various industrial sectors, in particular the biotech sector</w:t>
      </w:r>
    </w:p>
    <w:p w14:paraId="0E332BE0" w14:textId="0C83F506" w:rsidR="00312E17" w:rsidRPr="00312E17" w:rsidRDefault="00312E17" w:rsidP="00312E17">
      <w:pPr>
        <w:pStyle w:val="ListParagraph"/>
        <w:numPr>
          <w:ilvl w:val="0"/>
          <w:numId w:val="10"/>
        </w:numPr>
        <w:jc w:val="both"/>
        <w:rPr>
          <w:lang w:val="en-US"/>
        </w:rPr>
      </w:pPr>
      <w:r w:rsidRPr="00312E17">
        <w:rPr>
          <w:lang w:val="en-US"/>
        </w:rPr>
        <w:t>Representing the Belgian Federal and Investment Company in contentious matters related to current or former investments, in particular its investment in the former SABENA (Belgian Airlines Company</w:t>
      </w:r>
      <w:r w:rsidR="005D7060">
        <w:rPr>
          <w:lang w:val="en-US"/>
        </w:rPr>
        <w:t>)</w:t>
      </w:r>
    </w:p>
    <w:p w14:paraId="5E474E1A" w14:textId="70AD0E56" w:rsidR="00312E17" w:rsidRPr="00312E17" w:rsidRDefault="00312E17" w:rsidP="00312E17">
      <w:pPr>
        <w:pStyle w:val="ListParagraph"/>
        <w:numPr>
          <w:ilvl w:val="0"/>
          <w:numId w:val="10"/>
        </w:numPr>
        <w:jc w:val="both"/>
        <w:rPr>
          <w:lang w:val="en-US"/>
        </w:rPr>
      </w:pPr>
      <w:r w:rsidRPr="00312E17">
        <w:rPr>
          <w:lang w:val="en-US"/>
        </w:rPr>
        <w:t>Representing a leading European industrial group in its dispute against a Belgian public entity in the implementation of a public procurement contract of software for managing an electricity distribution network</w:t>
      </w:r>
    </w:p>
    <w:p w14:paraId="4F2F57EE" w14:textId="5EF16712" w:rsidR="00312E17" w:rsidRPr="00312E17" w:rsidRDefault="00312E17" w:rsidP="00312E17">
      <w:pPr>
        <w:pStyle w:val="ListParagraph"/>
        <w:numPr>
          <w:ilvl w:val="0"/>
          <w:numId w:val="10"/>
        </w:numPr>
        <w:jc w:val="both"/>
        <w:rPr>
          <w:lang w:val="en-US"/>
        </w:rPr>
      </w:pPr>
      <w:r w:rsidRPr="00312E17">
        <w:rPr>
          <w:lang w:val="en-US"/>
        </w:rPr>
        <w:t>Representing the Belgian Federal Investment Company in the structuring of several partnerships in the biotech secto</w:t>
      </w:r>
      <w:r>
        <w:rPr>
          <w:lang w:val="en-US"/>
        </w:rPr>
        <w:t>r</w:t>
      </w:r>
    </w:p>
    <w:p w14:paraId="5E2426E7" w14:textId="21F94B2B" w:rsidR="00E25C3B" w:rsidRPr="00427622" w:rsidRDefault="00D2290A" w:rsidP="001771A4">
      <w:pPr>
        <w:pStyle w:val="Headerfirstpage"/>
      </w:pPr>
      <w:r w:rsidRPr="00427622">
        <w:t xml:space="preserve">Qualifications </w:t>
      </w:r>
    </w:p>
    <w:p w14:paraId="6B35E0E8" w14:textId="77777777" w:rsidR="001771A4" w:rsidRPr="00427622" w:rsidRDefault="001771A4" w:rsidP="001771A4">
      <w:pPr>
        <w:pStyle w:val="Quote"/>
        <w:spacing w:after="0"/>
      </w:pPr>
    </w:p>
    <w:p w14:paraId="69ABBF36" w14:textId="0C970FDB" w:rsidR="00297A0F" w:rsidRPr="007738F7" w:rsidRDefault="00297A0F" w:rsidP="00610788">
      <w:pPr>
        <w:pStyle w:val="Quote"/>
        <w:jc w:val="both"/>
        <w:rPr>
          <w:b/>
          <w:bCs/>
          <w:i w:val="0"/>
          <w:iCs w:val="0"/>
          <w:sz w:val="28"/>
          <w:szCs w:val="28"/>
        </w:rPr>
      </w:pPr>
      <w:bookmarkStart w:id="0" w:name="_Hlk202787705"/>
      <w:r w:rsidRPr="007738F7">
        <w:rPr>
          <w:b/>
          <w:bCs/>
          <w:i w:val="0"/>
          <w:iCs w:val="0"/>
          <w:sz w:val="28"/>
          <w:szCs w:val="28"/>
        </w:rPr>
        <w:t xml:space="preserve">Academic </w:t>
      </w:r>
      <w:r w:rsidR="002C215B" w:rsidRPr="007738F7">
        <w:rPr>
          <w:b/>
          <w:bCs/>
          <w:i w:val="0"/>
          <w:iCs w:val="0"/>
          <w:sz w:val="28"/>
          <w:szCs w:val="28"/>
        </w:rPr>
        <w:t>Titles</w:t>
      </w:r>
    </w:p>
    <w:bookmarkEnd w:id="0"/>
    <w:p w14:paraId="606C4D69" w14:textId="5AAC9764" w:rsidR="00855994" w:rsidRPr="00855994" w:rsidRDefault="00855994" w:rsidP="0026552D">
      <w:pPr>
        <w:pStyle w:val="Quote"/>
        <w:numPr>
          <w:ilvl w:val="0"/>
          <w:numId w:val="8"/>
        </w:numPr>
        <w:spacing w:after="0"/>
        <w:rPr>
          <w:i w:val="0"/>
          <w:iCs w:val="0"/>
        </w:rPr>
      </w:pPr>
      <w:r w:rsidRPr="00855994">
        <w:rPr>
          <w:i w:val="0"/>
          <w:iCs w:val="0"/>
        </w:rPr>
        <w:t>1988, Master of Laws (Licencié en droit) of the University of Louvain-La-Neuve – Magna cum laude</w:t>
      </w:r>
    </w:p>
    <w:p w14:paraId="1ED2CA75" w14:textId="702CD7AB" w:rsidR="00B0659D" w:rsidRPr="00B0659D" w:rsidRDefault="00B0659D" w:rsidP="00297A0F">
      <w:pPr>
        <w:pStyle w:val="Quote"/>
        <w:numPr>
          <w:ilvl w:val="0"/>
          <w:numId w:val="7"/>
        </w:numPr>
        <w:spacing w:after="0"/>
        <w:rPr>
          <w:i w:val="0"/>
          <w:iCs w:val="0"/>
          <w:lang w:val="en-US"/>
        </w:rPr>
      </w:pPr>
      <w:r w:rsidRPr="00B0659D">
        <w:rPr>
          <w:i w:val="0"/>
          <w:iCs w:val="0"/>
          <w:lang w:val="en-US"/>
        </w:rPr>
        <w:t>1989-199</w:t>
      </w:r>
      <w:r w:rsidR="00297A0F" w:rsidRPr="00297A0F">
        <w:rPr>
          <w:i w:val="0"/>
          <w:iCs w:val="0"/>
          <w:lang w:val="en-US"/>
        </w:rPr>
        <w:t xml:space="preserve">5, </w:t>
      </w:r>
      <w:r w:rsidRPr="00B0659D">
        <w:rPr>
          <w:i w:val="0"/>
          <w:iCs w:val="0"/>
          <w:lang w:val="en-US"/>
        </w:rPr>
        <w:t>Assistant Lecturer at the University of Louvain-La-Neuve</w:t>
      </w:r>
    </w:p>
    <w:p w14:paraId="17AD9FC8" w14:textId="26160C92" w:rsidR="00B0659D" w:rsidRPr="007738F7" w:rsidRDefault="00B0659D" w:rsidP="00297A0F">
      <w:pPr>
        <w:pStyle w:val="Quote"/>
        <w:numPr>
          <w:ilvl w:val="0"/>
          <w:numId w:val="7"/>
        </w:numPr>
        <w:spacing w:after="0"/>
        <w:rPr>
          <w:i w:val="0"/>
          <w:iCs w:val="0"/>
          <w:lang w:val="fr-BE"/>
        </w:rPr>
      </w:pPr>
      <w:r w:rsidRPr="007738F7">
        <w:rPr>
          <w:i w:val="0"/>
          <w:iCs w:val="0"/>
          <w:lang w:val="fr-BE"/>
        </w:rPr>
        <w:t>Since 2005</w:t>
      </w:r>
      <w:r w:rsidR="00297A0F" w:rsidRPr="007738F7">
        <w:rPr>
          <w:i w:val="0"/>
          <w:iCs w:val="0"/>
          <w:lang w:val="fr-BE"/>
        </w:rPr>
        <w:t xml:space="preserve">, </w:t>
      </w:r>
      <w:r w:rsidRPr="007738F7">
        <w:rPr>
          <w:i w:val="0"/>
          <w:iCs w:val="0"/>
          <w:lang w:val="fr-BE"/>
        </w:rPr>
        <w:t>Maitre de Conférences invité at the University of Louvain-La-Neuve</w:t>
      </w:r>
    </w:p>
    <w:p w14:paraId="1125E607" w14:textId="06988C53" w:rsidR="00E406E3" w:rsidRDefault="00297A0F" w:rsidP="00814A0D">
      <w:pPr>
        <w:pStyle w:val="Quote"/>
        <w:spacing w:after="0"/>
        <w:ind w:left="720"/>
        <w:rPr>
          <w:i w:val="0"/>
          <w:iCs w:val="0"/>
          <w:highlight w:val="yellow"/>
          <w:lang w:val="fr-BE"/>
        </w:rPr>
      </w:pPr>
      <w:r w:rsidRPr="007738F7">
        <w:rPr>
          <w:i w:val="0"/>
          <w:iCs w:val="0"/>
          <w:highlight w:val="yellow"/>
          <w:lang w:val="fr-BE"/>
        </w:rPr>
        <w:br/>
      </w:r>
    </w:p>
    <w:p w14:paraId="7FC1AD0F" w14:textId="77777777" w:rsidR="00BC4EA2" w:rsidRDefault="00BC4EA2" w:rsidP="00814A0D">
      <w:pPr>
        <w:pStyle w:val="Quote"/>
        <w:spacing w:after="0"/>
        <w:ind w:left="720"/>
        <w:rPr>
          <w:i w:val="0"/>
          <w:iCs w:val="0"/>
          <w:highlight w:val="yellow"/>
          <w:lang w:val="fr-BE"/>
        </w:rPr>
      </w:pPr>
    </w:p>
    <w:p w14:paraId="13ED184F" w14:textId="77777777" w:rsidR="00BC4EA2" w:rsidRPr="007738F7" w:rsidRDefault="00BC4EA2" w:rsidP="00814A0D">
      <w:pPr>
        <w:pStyle w:val="Quote"/>
        <w:spacing w:after="0"/>
        <w:ind w:left="720"/>
        <w:rPr>
          <w:i w:val="0"/>
          <w:iCs w:val="0"/>
          <w:highlight w:val="yellow"/>
          <w:lang w:val="fr-BE"/>
        </w:rPr>
      </w:pPr>
    </w:p>
    <w:p w14:paraId="7BD270E8" w14:textId="36ED0C17" w:rsidR="008B0254" w:rsidRPr="007738F7" w:rsidRDefault="008B0254" w:rsidP="008B0254">
      <w:pPr>
        <w:pStyle w:val="Quote"/>
        <w:spacing w:after="0"/>
        <w:rPr>
          <w:b/>
          <w:bCs/>
          <w:i w:val="0"/>
          <w:iCs w:val="0"/>
          <w:sz w:val="28"/>
          <w:szCs w:val="28"/>
          <w:lang w:val="en-US"/>
        </w:rPr>
      </w:pPr>
      <w:r w:rsidRPr="007738F7">
        <w:rPr>
          <w:b/>
          <w:bCs/>
          <w:i w:val="0"/>
          <w:iCs w:val="0"/>
          <w:sz w:val="28"/>
          <w:szCs w:val="28"/>
          <w:lang w:val="en-US"/>
        </w:rPr>
        <w:lastRenderedPageBreak/>
        <w:t>Admission</w:t>
      </w:r>
      <w:r w:rsidR="007738F7">
        <w:rPr>
          <w:b/>
          <w:bCs/>
          <w:i w:val="0"/>
          <w:iCs w:val="0"/>
          <w:sz w:val="28"/>
          <w:szCs w:val="28"/>
          <w:lang w:val="en-US"/>
        </w:rPr>
        <w:t>s</w:t>
      </w:r>
      <w:r w:rsidRPr="007738F7">
        <w:rPr>
          <w:b/>
          <w:bCs/>
          <w:i w:val="0"/>
          <w:iCs w:val="0"/>
          <w:sz w:val="28"/>
          <w:szCs w:val="28"/>
          <w:lang w:val="en-US"/>
        </w:rPr>
        <w:t xml:space="preserve"> and Courts</w:t>
      </w:r>
    </w:p>
    <w:p w14:paraId="6F80E171" w14:textId="77777777" w:rsidR="00F50751" w:rsidRDefault="00F50751" w:rsidP="008B0254">
      <w:pPr>
        <w:pStyle w:val="Quote"/>
        <w:spacing w:after="0"/>
        <w:rPr>
          <w:b/>
          <w:bCs/>
          <w:i w:val="0"/>
          <w:iCs w:val="0"/>
          <w:lang w:val="en-US"/>
        </w:rPr>
      </w:pPr>
    </w:p>
    <w:p w14:paraId="13DDCD7C" w14:textId="68BD398A" w:rsidR="00F32A48" w:rsidRPr="005D7060" w:rsidRDefault="00F32A48" w:rsidP="00F32A48">
      <w:pPr>
        <w:pStyle w:val="Quote"/>
        <w:numPr>
          <w:ilvl w:val="0"/>
          <w:numId w:val="12"/>
        </w:numPr>
        <w:spacing w:after="0"/>
        <w:rPr>
          <w:i w:val="0"/>
          <w:iCs w:val="0"/>
          <w:lang w:val="en-US"/>
        </w:rPr>
      </w:pPr>
      <w:r w:rsidRPr="005D7060">
        <w:rPr>
          <w:i w:val="0"/>
          <w:iCs w:val="0"/>
          <w:lang w:val="en-US"/>
        </w:rPr>
        <w:t>Member of the Brussels Bar</w:t>
      </w:r>
    </w:p>
    <w:p w14:paraId="5FF53A18" w14:textId="2A6A8530" w:rsidR="00F50751" w:rsidRPr="008B0254" w:rsidRDefault="00F50751" w:rsidP="00F50751">
      <w:pPr>
        <w:pStyle w:val="Quote"/>
        <w:spacing w:after="0"/>
        <w:ind w:left="720"/>
        <w:rPr>
          <w:i w:val="0"/>
          <w:iCs w:val="0"/>
          <w:highlight w:val="yellow"/>
          <w:lang w:val="en-US"/>
        </w:rPr>
      </w:pPr>
    </w:p>
    <w:p w14:paraId="26469A36" w14:textId="77777777" w:rsidR="00896C4C" w:rsidRDefault="00896C4C" w:rsidP="001771A4">
      <w:pPr>
        <w:pStyle w:val="Heading2"/>
        <w:spacing w:before="0"/>
        <w:rPr>
          <w:color w:val="auto"/>
          <w:sz w:val="36"/>
          <w:szCs w:val="36"/>
          <w:lang w:val="en-US"/>
        </w:rPr>
      </w:pPr>
      <w:r>
        <w:rPr>
          <w:color w:val="auto"/>
          <w:sz w:val="36"/>
          <w:szCs w:val="36"/>
          <w:lang w:val="en-US"/>
        </w:rPr>
        <w:t>Accolades</w:t>
      </w:r>
    </w:p>
    <w:p w14:paraId="4FFD6946" w14:textId="77777777" w:rsidR="00C230D1" w:rsidRDefault="00C230D1" w:rsidP="00C230D1">
      <w:pPr>
        <w:jc w:val="both"/>
        <w:rPr>
          <w:lang w:val="en-US"/>
        </w:rPr>
      </w:pPr>
    </w:p>
    <w:p w14:paraId="04B99694" w14:textId="1FEF1FB4" w:rsidR="00C230D1" w:rsidRPr="0047697F" w:rsidRDefault="00C230D1" w:rsidP="00C230D1">
      <w:pPr>
        <w:jc w:val="both"/>
        <w:rPr>
          <w:lang w:val="en-US"/>
        </w:rPr>
      </w:pPr>
      <w:r w:rsidRPr="0047697F">
        <w:rPr>
          <w:lang w:val="en-US"/>
        </w:rPr>
        <w:t xml:space="preserve">Ranked in </w:t>
      </w:r>
      <w:r w:rsidRPr="0047697F">
        <w:rPr>
          <w:b/>
          <w:bCs/>
          <w:lang w:val="en-US"/>
        </w:rPr>
        <w:t>Chambers 202</w:t>
      </w:r>
      <w:r w:rsidR="00755EF2">
        <w:rPr>
          <w:b/>
          <w:bCs/>
          <w:lang w:val="en-US"/>
        </w:rPr>
        <w:t>5</w:t>
      </w:r>
      <w:r w:rsidRPr="0047697F">
        <w:rPr>
          <w:b/>
          <w:bCs/>
          <w:lang w:val="en-US"/>
        </w:rPr>
        <w:t xml:space="preserve"> – Band 2 – Dispute Resolution Arbitration – Belgium.</w:t>
      </w:r>
      <w:r w:rsidRPr="0047697F">
        <w:rPr>
          <w:lang w:val="en-US"/>
        </w:rPr>
        <w:t xml:space="preserve"> </w:t>
      </w:r>
    </w:p>
    <w:p w14:paraId="5ED24CBC" w14:textId="77777777" w:rsidR="00C230D1" w:rsidRPr="00F20405" w:rsidRDefault="00C230D1" w:rsidP="00C230D1">
      <w:pPr>
        <w:jc w:val="both"/>
        <w:rPr>
          <w:lang w:val="en-US"/>
        </w:rPr>
      </w:pPr>
      <w:r w:rsidRPr="0047697F">
        <w:rPr>
          <w:lang w:val="en-US"/>
        </w:rPr>
        <w:t xml:space="preserve">“Sources commend Jean-François Tossens of Tossens Goldman Gonne Lawyers for his expertise in arbitration. </w:t>
      </w:r>
      <w:r w:rsidRPr="00F20405">
        <w:rPr>
          <w:lang w:val="en-US"/>
        </w:rPr>
        <w:t>He acts on domestic and cross-border commercial arbitration.”</w:t>
      </w:r>
    </w:p>
    <w:p w14:paraId="44D69F24" w14:textId="77777777" w:rsidR="00C230D1" w:rsidRPr="00F20405" w:rsidRDefault="00C230D1" w:rsidP="00C230D1">
      <w:pPr>
        <w:jc w:val="both"/>
        <w:rPr>
          <w:lang w:val="en-US"/>
        </w:rPr>
      </w:pPr>
      <w:r>
        <w:rPr>
          <w:lang w:val="en-US"/>
        </w:rPr>
        <w:t>Ra</w:t>
      </w:r>
      <w:r w:rsidRPr="00F20405">
        <w:rPr>
          <w:lang w:val="en-US"/>
        </w:rPr>
        <w:t xml:space="preserve">nked in </w:t>
      </w:r>
      <w:r w:rsidRPr="00F20405">
        <w:rPr>
          <w:b/>
          <w:bCs/>
          <w:lang w:val="en-US"/>
        </w:rPr>
        <w:t>Who’s Who Legal (Arbitration</w:t>
      </w:r>
      <w:r w:rsidRPr="00F20405">
        <w:rPr>
          <w:lang w:val="en-US"/>
        </w:rPr>
        <w:t xml:space="preserve">) and in </w:t>
      </w:r>
      <w:r w:rsidRPr="00F20405">
        <w:rPr>
          <w:b/>
          <w:bCs/>
          <w:lang w:val="en-US"/>
        </w:rPr>
        <w:t>Leaders League Directory.</w:t>
      </w:r>
      <w:r w:rsidRPr="00F20405">
        <w:rPr>
          <w:lang w:val="en-US"/>
        </w:rPr>
        <w:t xml:space="preserve"> </w:t>
      </w:r>
    </w:p>
    <w:p w14:paraId="78A3EF8E" w14:textId="77777777" w:rsidR="00C230D1" w:rsidRPr="00F20405" w:rsidRDefault="00C230D1" w:rsidP="00C230D1">
      <w:pPr>
        <w:jc w:val="both"/>
        <w:rPr>
          <w:b/>
          <w:bCs/>
          <w:lang w:val="en-US"/>
        </w:rPr>
      </w:pPr>
      <w:r>
        <w:rPr>
          <w:lang w:val="en-US"/>
        </w:rPr>
        <w:t>N</w:t>
      </w:r>
      <w:r w:rsidRPr="00F20405">
        <w:rPr>
          <w:lang w:val="en-US"/>
        </w:rPr>
        <w:t xml:space="preserve">amed </w:t>
      </w:r>
      <w:r w:rsidRPr="00F20405">
        <w:rPr>
          <w:b/>
          <w:bCs/>
          <w:lang w:val="en-US"/>
        </w:rPr>
        <w:t>“Lawyer of the year”</w:t>
      </w:r>
      <w:r w:rsidRPr="00F20405">
        <w:rPr>
          <w:lang w:val="en-US"/>
        </w:rPr>
        <w:t xml:space="preserve"> for Arbitration and Mediation by the </w:t>
      </w:r>
      <w:r w:rsidRPr="00F20405">
        <w:rPr>
          <w:b/>
          <w:bCs/>
          <w:lang w:val="en-US"/>
        </w:rPr>
        <w:t xml:space="preserve">Best Lawyers in Belgium 2023. </w:t>
      </w:r>
    </w:p>
    <w:p w14:paraId="1C5C8252" w14:textId="77777777" w:rsidR="00896C4C" w:rsidRPr="00896C4C" w:rsidRDefault="00896C4C" w:rsidP="00896C4C">
      <w:pPr>
        <w:rPr>
          <w:lang w:val="en-US"/>
        </w:rPr>
      </w:pPr>
    </w:p>
    <w:p w14:paraId="10C36A57" w14:textId="7A1C2F11" w:rsidR="00827E7E" w:rsidRDefault="00827E7E" w:rsidP="001771A4">
      <w:pPr>
        <w:pStyle w:val="Heading2"/>
        <w:spacing w:before="0"/>
        <w:rPr>
          <w:color w:val="auto"/>
          <w:sz w:val="36"/>
          <w:szCs w:val="36"/>
          <w:lang w:val="en-US"/>
        </w:rPr>
      </w:pPr>
      <w:r>
        <w:rPr>
          <w:color w:val="auto"/>
          <w:sz w:val="36"/>
          <w:szCs w:val="36"/>
          <w:lang w:val="en-US"/>
        </w:rPr>
        <w:t>Languages and Nationality</w:t>
      </w:r>
    </w:p>
    <w:p w14:paraId="6A93D998" w14:textId="77777777" w:rsidR="00896C4C" w:rsidRDefault="00896C4C" w:rsidP="00896C4C">
      <w:pPr>
        <w:spacing w:after="0"/>
        <w:rPr>
          <w:lang w:val="en-US"/>
        </w:rPr>
      </w:pPr>
    </w:p>
    <w:p w14:paraId="717ABE77" w14:textId="1D8AB143" w:rsidR="002C586E" w:rsidRDefault="002C586E" w:rsidP="00827E7E">
      <w:pPr>
        <w:rPr>
          <w:b/>
          <w:bCs/>
          <w:lang w:val="en-US"/>
        </w:rPr>
      </w:pPr>
      <w:r w:rsidRPr="002C586E">
        <w:rPr>
          <w:b/>
          <w:bCs/>
          <w:lang w:val="en-US"/>
        </w:rPr>
        <w:t>Languages</w:t>
      </w:r>
    </w:p>
    <w:p w14:paraId="4605C784" w14:textId="55417693" w:rsidR="002C586E" w:rsidRDefault="002C586E" w:rsidP="002C586E">
      <w:pPr>
        <w:pStyle w:val="ListParagraph"/>
        <w:numPr>
          <w:ilvl w:val="0"/>
          <w:numId w:val="12"/>
        </w:numPr>
        <w:rPr>
          <w:lang w:val="en-US"/>
        </w:rPr>
      </w:pPr>
      <w:r>
        <w:rPr>
          <w:lang w:val="en-US"/>
        </w:rPr>
        <w:t>French</w:t>
      </w:r>
    </w:p>
    <w:p w14:paraId="0AC5F8E2" w14:textId="6AE301EB" w:rsidR="00F82A38" w:rsidRDefault="00F82A38" w:rsidP="002C586E">
      <w:pPr>
        <w:pStyle w:val="ListParagraph"/>
        <w:numPr>
          <w:ilvl w:val="0"/>
          <w:numId w:val="12"/>
        </w:numPr>
        <w:rPr>
          <w:lang w:val="en-US"/>
        </w:rPr>
      </w:pPr>
      <w:r>
        <w:rPr>
          <w:lang w:val="en-US"/>
        </w:rPr>
        <w:t>English</w:t>
      </w:r>
    </w:p>
    <w:p w14:paraId="645CB915" w14:textId="44C06F5B" w:rsidR="00F82A38" w:rsidRDefault="00F82A38" w:rsidP="002C586E">
      <w:pPr>
        <w:pStyle w:val="ListParagraph"/>
        <w:numPr>
          <w:ilvl w:val="0"/>
          <w:numId w:val="12"/>
        </w:numPr>
        <w:rPr>
          <w:lang w:val="en-US"/>
        </w:rPr>
      </w:pPr>
      <w:r>
        <w:rPr>
          <w:lang w:val="en-US"/>
        </w:rPr>
        <w:t>Dutch</w:t>
      </w:r>
    </w:p>
    <w:p w14:paraId="03E6D6E8" w14:textId="14814F8A" w:rsidR="00D57BC6" w:rsidRDefault="00D57BC6" w:rsidP="00D57BC6">
      <w:pPr>
        <w:rPr>
          <w:b/>
          <w:bCs/>
          <w:lang w:val="en-US"/>
        </w:rPr>
      </w:pPr>
      <w:r>
        <w:rPr>
          <w:b/>
          <w:bCs/>
          <w:lang w:val="en-US"/>
        </w:rPr>
        <w:t>National</w:t>
      </w:r>
      <w:r w:rsidR="0094157B">
        <w:rPr>
          <w:b/>
          <w:bCs/>
          <w:lang w:val="en-US"/>
        </w:rPr>
        <w:t>ity</w:t>
      </w:r>
    </w:p>
    <w:p w14:paraId="30CF24FB" w14:textId="431AC859" w:rsidR="0094157B" w:rsidRPr="0094157B" w:rsidRDefault="0094157B" w:rsidP="0094157B">
      <w:pPr>
        <w:pStyle w:val="ListParagraph"/>
        <w:numPr>
          <w:ilvl w:val="0"/>
          <w:numId w:val="13"/>
        </w:numPr>
        <w:rPr>
          <w:b/>
          <w:bCs/>
          <w:lang w:val="en-US"/>
        </w:rPr>
      </w:pPr>
      <w:r>
        <w:rPr>
          <w:b/>
          <w:bCs/>
          <w:lang w:val="en-US"/>
        </w:rPr>
        <w:t>Belgian</w:t>
      </w:r>
    </w:p>
    <w:p w14:paraId="416E4EA6" w14:textId="77777777" w:rsidR="00F82A38" w:rsidRPr="002C586E" w:rsidRDefault="00F82A38" w:rsidP="00F82A38">
      <w:pPr>
        <w:pStyle w:val="ListParagraph"/>
        <w:rPr>
          <w:lang w:val="en-US"/>
        </w:rPr>
      </w:pPr>
    </w:p>
    <w:p w14:paraId="34FED1AA" w14:textId="3EF59A09" w:rsidR="001771A4" w:rsidRPr="00427622" w:rsidRDefault="00D2290A" w:rsidP="001771A4">
      <w:pPr>
        <w:pStyle w:val="Heading2"/>
        <w:spacing w:before="0"/>
        <w:rPr>
          <w:color w:val="auto"/>
          <w:sz w:val="36"/>
          <w:szCs w:val="36"/>
          <w:lang w:val="en-US"/>
        </w:rPr>
      </w:pPr>
      <w:r w:rsidRPr="00427622">
        <w:rPr>
          <w:color w:val="auto"/>
          <w:sz w:val="36"/>
          <w:szCs w:val="36"/>
          <w:lang w:val="en-US"/>
        </w:rPr>
        <w:t>Professional A</w:t>
      </w:r>
      <w:r w:rsidR="0094157B">
        <w:rPr>
          <w:color w:val="auto"/>
          <w:sz w:val="36"/>
          <w:szCs w:val="36"/>
          <w:lang w:val="en-US"/>
        </w:rPr>
        <w:t>ffi</w:t>
      </w:r>
      <w:r w:rsidR="00F36914">
        <w:rPr>
          <w:color w:val="auto"/>
          <w:sz w:val="36"/>
          <w:szCs w:val="36"/>
          <w:lang w:val="en-US"/>
        </w:rPr>
        <w:t>liation</w:t>
      </w:r>
      <w:r w:rsidR="007738F7">
        <w:rPr>
          <w:color w:val="auto"/>
          <w:sz w:val="36"/>
          <w:szCs w:val="36"/>
          <w:lang w:val="en-US"/>
        </w:rPr>
        <w:t>s</w:t>
      </w:r>
      <w:r w:rsidRPr="00427622">
        <w:rPr>
          <w:color w:val="auto"/>
          <w:sz w:val="36"/>
          <w:szCs w:val="36"/>
          <w:lang w:val="en-US"/>
        </w:rPr>
        <w:t xml:space="preserve"> </w:t>
      </w:r>
    </w:p>
    <w:p w14:paraId="7F1964B5" w14:textId="77777777" w:rsidR="005D7060" w:rsidRDefault="005D7060" w:rsidP="00610788">
      <w:pPr>
        <w:jc w:val="both"/>
        <w:rPr>
          <w:lang w:val="en-US"/>
        </w:rPr>
      </w:pPr>
      <w:bookmarkStart w:id="1" w:name="_Hlk202788067"/>
    </w:p>
    <w:p w14:paraId="52078FE1" w14:textId="5B44F289" w:rsidR="00A02C5D" w:rsidRPr="00461DC3" w:rsidRDefault="0094157B" w:rsidP="00610788">
      <w:pPr>
        <w:jc w:val="both"/>
        <w:rPr>
          <w:b/>
          <w:bCs/>
          <w:lang w:val="en-US"/>
        </w:rPr>
      </w:pPr>
      <w:r>
        <w:rPr>
          <w:b/>
          <w:bCs/>
          <w:lang w:val="en-US"/>
        </w:rPr>
        <w:t>Affiliations</w:t>
      </w:r>
      <w:r w:rsidR="00461DC3" w:rsidRPr="00461DC3">
        <w:rPr>
          <w:b/>
          <w:bCs/>
          <w:lang w:val="en-US"/>
        </w:rPr>
        <w:t xml:space="preserve"> </w:t>
      </w:r>
    </w:p>
    <w:bookmarkEnd w:id="1"/>
    <w:p w14:paraId="66578D6B" w14:textId="77777777" w:rsidR="00461DC3" w:rsidRPr="005B100E" w:rsidRDefault="00461DC3" w:rsidP="00461DC3">
      <w:pPr>
        <w:pStyle w:val="ListParagraph"/>
        <w:numPr>
          <w:ilvl w:val="0"/>
          <w:numId w:val="4"/>
        </w:numPr>
        <w:jc w:val="both"/>
        <w:rPr>
          <w:lang w:val="en-US"/>
        </w:rPr>
      </w:pPr>
      <w:r w:rsidRPr="005B100E">
        <w:rPr>
          <w:lang w:val="en-US"/>
        </w:rPr>
        <w:t xml:space="preserve">Chairman of FRANCARBI </w:t>
      </w:r>
    </w:p>
    <w:p w14:paraId="47D92C7E" w14:textId="77777777" w:rsidR="00461DC3" w:rsidRDefault="00461DC3" w:rsidP="00461DC3">
      <w:pPr>
        <w:pStyle w:val="ListParagraph"/>
        <w:numPr>
          <w:ilvl w:val="0"/>
          <w:numId w:val="4"/>
        </w:numPr>
        <w:jc w:val="both"/>
        <w:rPr>
          <w:lang w:val="en-US"/>
        </w:rPr>
      </w:pPr>
      <w:r w:rsidRPr="005B100E">
        <w:rPr>
          <w:lang w:val="en-US"/>
        </w:rPr>
        <w:t xml:space="preserve">Co-editor in chief of </w:t>
      </w:r>
      <w:r w:rsidRPr="005B100E">
        <w:rPr>
          <w:i/>
          <w:lang w:val="en-US"/>
        </w:rPr>
        <w:t>b</w:t>
      </w:r>
      <w:r w:rsidRPr="005B100E">
        <w:rPr>
          <w:lang w:val="en-US"/>
        </w:rPr>
        <w:t xml:space="preserve">-Arbitra, the Belgian Review of Arbitration (2013 - 2020) </w:t>
      </w:r>
    </w:p>
    <w:p w14:paraId="74A4A30A" w14:textId="7F14DD9F" w:rsidR="00D6206E" w:rsidRPr="005B100E" w:rsidRDefault="00D6206E" w:rsidP="00461DC3">
      <w:pPr>
        <w:pStyle w:val="ListParagraph"/>
        <w:numPr>
          <w:ilvl w:val="0"/>
          <w:numId w:val="4"/>
        </w:numPr>
        <w:jc w:val="both"/>
        <w:rPr>
          <w:lang w:val="en-US"/>
        </w:rPr>
      </w:pPr>
      <w:r>
        <w:rPr>
          <w:lang w:val="en-US"/>
        </w:rPr>
        <w:t>Member of the Editorial Board of b-Arbitra</w:t>
      </w:r>
    </w:p>
    <w:p w14:paraId="718CC9D1" w14:textId="77777777" w:rsidR="00461DC3" w:rsidRPr="005B100E" w:rsidRDefault="00461DC3" w:rsidP="00461DC3">
      <w:pPr>
        <w:pStyle w:val="ListParagraph"/>
        <w:numPr>
          <w:ilvl w:val="0"/>
          <w:numId w:val="4"/>
        </w:numPr>
        <w:jc w:val="both"/>
        <w:rPr>
          <w:lang w:val="en-US"/>
        </w:rPr>
      </w:pPr>
      <w:r w:rsidRPr="005B100E">
        <w:rPr>
          <w:lang w:val="en-US"/>
        </w:rPr>
        <w:t>Member of the Board of ICC Belgium</w:t>
      </w:r>
    </w:p>
    <w:p w14:paraId="51397ACF" w14:textId="77777777" w:rsidR="00461DC3" w:rsidRDefault="00461DC3" w:rsidP="00461DC3">
      <w:pPr>
        <w:pStyle w:val="ListParagraph"/>
        <w:numPr>
          <w:ilvl w:val="0"/>
          <w:numId w:val="4"/>
        </w:numPr>
        <w:jc w:val="both"/>
        <w:rPr>
          <w:lang w:val="en-US"/>
        </w:rPr>
      </w:pPr>
      <w:r w:rsidRPr="005B100E">
        <w:rPr>
          <w:lang w:val="en-US"/>
        </w:rPr>
        <w:t>Member of ICC, IBA and CEPANI</w:t>
      </w:r>
    </w:p>
    <w:p w14:paraId="331458F7" w14:textId="0DA70B91" w:rsidR="00814A0D" w:rsidRPr="00814A0D" w:rsidRDefault="00D6206E" w:rsidP="00814A0D">
      <w:pPr>
        <w:jc w:val="both"/>
        <w:rPr>
          <w:b/>
          <w:bCs/>
          <w:lang w:val="en-US"/>
        </w:rPr>
      </w:pPr>
      <w:r>
        <w:rPr>
          <w:b/>
          <w:bCs/>
          <w:lang w:val="en-US"/>
        </w:rPr>
        <w:lastRenderedPageBreak/>
        <w:t>Teaching</w:t>
      </w:r>
      <w:r w:rsidRPr="00461DC3">
        <w:rPr>
          <w:b/>
          <w:bCs/>
          <w:lang w:val="en-US"/>
        </w:rPr>
        <w:t xml:space="preserve"> </w:t>
      </w:r>
    </w:p>
    <w:p w14:paraId="2EA5DD10" w14:textId="504F2F3D" w:rsidR="00814A0D" w:rsidRPr="00814A0D" w:rsidRDefault="00814A0D" w:rsidP="00814A0D">
      <w:pPr>
        <w:pStyle w:val="Quote"/>
        <w:numPr>
          <w:ilvl w:val="0"/>
          <w:numId w:val="7"/>
        </w:numPr>
        <w:spacing w:after="0"/>
        <w:rPr>
          <w:i w:val="0"/>
          <w:iCs w:val="0"/>
          <w:lang w:val="en-US"/>
        </w:rPr>
      </w:pPr>
      <w:r w:rsidRPr="00814A0D">
        <w:rPr>
          <w:i w:val="0"/>
          <w:iCs w:val="0"/>
          <w:lang w:val="en-US"/>
        </w:rPr>
        <w:t>Since 2012, Teaching National and International Arbitration Law at the University of Louvain-La-Neuve (Master Program)</w:t>
      </w:r>
    </w:p>
    <w:p w14:paraId="2C1E86C8" w14:textId="461A5BB2" w:rsidR="00814A0D" w:rsidRPr="00814A0D" w:rsidRDefault="00814A0D" w:rsidP="00814A0D">
      <w:pPr>
        <w:pStyle w:val="Quote"/>
        <w:numPr>
          <w:ilvl w:val="0"/>
          <w:numId w:val="7"/>
        </w:numPr>
        <w:spacing w:after="0"/>
        <w:rPr>
          <w:i w:val="0"/>
          <w:iCs w:val="0"/>
          <w:lang w:val="en-US"/>
        </w:rPr>
      </w:pPr>
      <w:r w:rsidRPr="00814A0D">
        <w:rPr>
          <w:i w:val="0"/>
          <w:iCs w:val="0"/>
          <w:lang w:val="en-US"/>
        </w:rPr>
        <w:t xml:space="preserve">2021, Lecturer at the Paris International </w:t>
      </w:r>
      <w:r w:rsidR="00F22C02">
        <w:rPr>
          <w:i w:val="0"/>
          <w:iCs w:val="0"/>
          <w:lang w:val="en-US"/>
        </w:rPr>
        <w:t xml:space="preserve">Arbitration </w:t>
      </w:r>
      <w:r w:rsidRPr="00814A0D">
        <w:rPr>
          <w:i w:val="0"/>
          <w:iCs w:val="0"/>
          <w:lang w:val="en-US"/>
        </w:rPr>
        <w:t>Academy</w:t>
      </w:r>
    </w:p>
    <w:p w14:paraId="7229F7AC" w14:textId="14178D9F" w:rsidR="00814A0D" w:rsidRPr="00461DC3" w:rsidRDefault="00814A0D" w:rsidP="00F22C02">
      <w:pPr>
        <w:pStyle w:val="Quote"/>
        <w:numPr>
          <w:ilvl w:val="0"/>
          <w:numId w:val="7"/>
        </w:numPr>
        <w:spacing w:after="0"/>
        <w:rPr>
          <w:b/>
          <w:bCs/>
          <w:lang w:val="en-US"/>
        </w:rPr>
      </w:pPr>
      <w:r w:rsidRPr="00814A0D">
        <w:rPr>
          <w:i w:val="0"/>
          <w:iCs w:val="0"/>
          <w:lang w:val="en-US"/>
        </w:rPr>
        <w:t>2023,</w:t>
      </w:r>
      <w:r w:rsidR="00F22C02">
        <w:rPr>
          <w:i w:val="0"/>
          <w:iCs w:val="0"/>
          <w:lang w:val="en-US"/>
        </w:rPr>
        <w:t xml:space="preserve"> </w:t>
      </w:r>
      <w:r w:rsidR="0099688D">
        <w:rPr>
          <w:i w:val="0"/>
          <w:iCs w:val="0"/>
          <w:lang w:val="en-US"/>
        </w:rPr>
        <w:t xml:space="preserve">2024 and 2025 </w:t>
      </w:r>
      <w:r w:rsidRPr="00814A0D">
        <w:rPr>
          <w:i w:val="0"/>
          <w:iCs w:val="0"/>
          <w:lang w:val="en-US"/>
        </w:rPr>
        <w:t>Lecturer at the Cepani Arbitration Academy</w:t>
      </w:r>
    </w:p>
    <w:p w14:paraId="009CFF6A" w14:textId="77777777" w:rsidR="00D6206E" w:rsidRPr="00D6206E" w:rsidRDefault="00D6206E" w:rsidP="00D6206E">
      <w:pPr>
        <w:jc w:val="both"/>
        <w:rPr>
          <w:lang w:val="en-US"/>
        </w:rPr>
      </w:pPr>
    </w:p>
    <w:p w14:paraId="3DEFD6F1" w14:textId="0405DEED" w:rsidR="00DF132F" w:rsidRPr="00427622" w:rsidRDefault="00DF132F" w:rsidP="001771A4">
      <w:pPr>
        <w:pStyle w:val="Heading2"/>
        <w:rPr>
          <w:color w:val="auto"/>
          <w:sz w:val="36"/>
          <w:szCs w:val="36"/>
        </w:rPr>
      </w:pPr>
      <w:r w:rsidRPr="00427622">
        <w:rPr>
          <w:color w:val="auto"/>
          <w:sz w:val="36"/>
          <w:szCs w:val="36"/>
          <w:lang w:val="en-US"/>
        </w:rPr>
        <w:t>Publications</w:t>
      </w:r>
    </w:p>
    <w:p w14:paraId="3F3BD4E3" w14:textId="77777777" w:rsidR="001771A4" w:rsidRPr="0099688D" w:rsidRDefault="001771A4" w:rsidP="001771A4">
      <w:pPr>
        <w:spacing w:after="0"/>
      </w:pPr>
    </w:p>
    <w:p w14:paraId="6724C129" w14:textId="79ABC4AF" w:rsidR="004C0045" w:rsidRPr="00E4263C" w:rsidRDefault="004C0045" w:rsidP="004C0045">
      <w:pPr>
        <w:jc w:val="both"/>
        <w:rPr>
          <w:b/>
          <w:lang w:val="en-US"/>
        </w:rPr>
      </w:pPr>
      <w:r w:rsidRPr="00E4263C">
        <w:rPr>
          <w:b/>
          <w:lang w:val="en-US"/>
        </w:rPr>
        <w:t>Corporate and Financial Law</w:t>
      </w:r>
    </w:p>
    <w:p w14:paraId="64409440" w14:textId="3FBDB498" w:rsidR="004C0045" w:rsidRPr="005B100E" w:rsidRDefault="004C0045" w:rsidP="000151A3">
      <w:pPr>
        <w:pStyle w:val="ListParagraph"/>
        <w:numPr>
          <w:ilvl w:val="0"/>
          <w:numId w:val="3"/>
        </w:numPr>
        <w:spacing w:after="0"/>
        <w:jc w:val="both"/>
        <w:rPr>
          <w:lang w:val="fr-FR"/>
        </w:rPr>
      </w:pPr>
      <w:r w:rsidRPr="005B100E">
        <w:rPr>
          <w:lang w:val="fr-FR"/>
        </w:rPr>
        <w:t xml:space="preserve">La réforme de la Commission bancaire », in </w:t>
      </w:r>
      <w:r w:rsidRPr="005B100E">
        <w:rPr>
          <w:i/>
          <w:lang w:val="fr-FR"/>
        </w:rPr>
        <w:t xml:space="preserve">AEDBF, </w:t>
      </w:r>
      <w:r w:rsidRPr="005B100E">
        <w:rPr>
          <w:lang w:val="fr-FR"/>
        </w:rPr>
        <w:t>Yearbook 1992, Mys &amp; Breesch, 1992, pp. 187 et suiv.</w:t>
      </w:r>
    </w:p>
    <w:p w14:paraId="179C3D87" w14:textId="1FE637AE" w:rsidR="004C0045" w:rsidRPr="004C0045" w:rsidRDefault="004C0045" w:rsidP="000151A3">
      <w:pPr>
        <w:numPr>
          <w:ilvl w:val="0"/>
          <w:numId w:val="3"/>
        </w:numPr>
        <w:spacing w:after="0"/>
        <w:jc w:val="both"/>
        <w:rPr>
          <w:lang w:val="fr-FR"/>
        </w:rPr>
      </w:pPr>
      <w:r w:rsidRPr="004C0045">
        <w:rPr>
          <w:lang w:val="fr-FR"/>
        </w:rPr>
        <w:t xml:space="preserve">Réflexions sur la nature et le régime juridiques des valeurs mobilières et des autres instruments financiers » (avec G. Horsmans), in </w:t>
      </w:r>
      <w:r w:rsidRPr="004C0045">
        <w:rPr>
          <w:i/>
          <w:lang w:val="fr-FR"/>
        </w:rPr>
        <w:t xml:space="preserve">Le nouveau droit des marchés financiers, </w:t>
      </w:r>
      <w:r w:rsidRPr="004C0045">
        <w:rPr>
          <w:lang w:val="fr-FR"/>
        </w:rPr>
        <w:t>Larcier, 1992, pp. 151 et suiv.</w:t>
      </w:r>
    </w:p>
    <w:p w14:paraId="437B68CF" w14:textId="16D15841" w:rsidR="004C0045" w:rsidRPr="005B100E" w:rsidRDefault="004C0045" w:rsidP="000151A3">
      <w:pPr>
        <w:pStyle w:val="ListParagraph"/>
        <w:numPr>
          <w:ilvl w:val="0"/>
          <w:numId w:val="3"/>
        </w:numPr>
        <w:spacing w:after="0"/>
        <w:jc w:val="both"/>
        <w:rPr>
          <w:i/>
          <w:lang w:val="fr-FR"/>
        </w:rPr>
      </w:pPr>
      <w:r w:rsidRPr="005B100E">
        <w:rPr>
          <w:lang w:val="fr-FR"/>
        </w:rPr>
        <w:t xml:space="preserve">Plaidoyer pour l’autonomie du droit financier », in </w:t>
      </w:r>
      <w:r w:rsidRPr="005B100E">
        <w:rPr>
          <w:i/>
          <w:lang w:val="fr-FR"/>
        </w:rPr>
        <w:t xml:space="preserve">Principes et exigences du droit des sociétés en Europe, </w:t>
      </w:r>
      <w:r w:rsidRPr="005B100E">
        <w:rPr>
          <w:lang w:val="fr-FR"/>
        </w:rPr>
        <w:t>Actes des XIVémes Journées Juridiques Jean Dabin, Louvain-La-Neuve, 19-20 novembre 1992</w:t>
      </w:r>
    </w:p>
    <w:p w14:paraId="2E8B27DF" w14:textId="684000DE" w:rsidR="004C0045" w:rsidRPr="004C0045" w:rsidRDefault="004C0045" w:rsidP="000151A3">
      <w:pPr>
        <w:numPr>
          <w:ilvl w:val="0"/>
          <w:numId w:val="3"/>
        </w:numPr>
        <w:spacing w:after="0"/>
        <w:jc w:val="both"/>
        <w:rPr>
          <w:lang w:val="fr-FR"/>
        </w:rPr>
      </w:pPr>
      <w:r w:rsidRPr="004C0045">
        <w:rPr>
          <w:lang w:val="fr-FR"/>
        </w:rPr>
        <w:t xml:space="preserve">La situation des actionnaires et leurs recours » (avec G. Keutgen), in </w:t>
      </w:r>
      <w:r w:rsidRPr="004C0045">
        <w:rPr>
          <w:i/>
          <w:lang w:val="fr-FR"/>
        </w:rPr>
        <w:t xml:space="preserve">Le nouveau droit des fusions et des scissions de sociétés, </w:t>
      </w:r>
      <w:r w:rsidRPr="004C0045">
        <w:rPr>
          <w:lang w:val="fr-FR"/>
        </w:rPr>
        <w:t>Bruylant, 1994, pp. 119 et suiv.</w:t>
      </w:r>
    </w:p>
    <w:p w14:paraId="3937CED5" w14:textId="3176D78D" w:rsidR="004C0045" w:rsidRPr="004C0045" w:rsidRDefault="004C0045" w:rsidP="000151A3">
      <w:pPr>
        <w:numPr>
          <w:ilvl w:val="0"/>
          <w:numId w:val="3"/>
        </w:numPr>
        <w:spacing w:after="0"/>
        <w:jc w:val="both"/>
        <w:rPr>
          <w:lang w:val="en-US"/>
        </w:rPr>
      </w:pPr>
      <w:r w:rsidRPr="004C0045">
        <w:rPr>
          <w:lang w:val="en-US"/>
        </w:rPr>
        <w:t xml:space="preserve">Agreement on the Autonomy of bank Management”, in </w:t>
      </w:r>
      <w:r w:rsidRPr="004C0045">
        <w:rPr>
          <w:i/>
          <w:lang w:val="en-US"/>
        </w:rPr>
        <w:t>New Belgian banking law,</w:t>
      </w:r>
      <w:r w:rsidRPr="004C0045">
        <w:rPr>
          <w:lang w:val="en-US"/>
        </w:rPr>
        <w:t xml:space="preserve"> Wiley Chancery, AEDBF-Belgium, Yearbook 1994, pp. 51 et suiv.</w:t>
      </w:r>
    </w:p>
    <w:p w14:paraId="723B3C7A" w14:textId="408FD0B9" w:rsidR="004C0045" w:rsidRPr="004C0045" w:rsidRDefault="004C0045" w:rsidP="000151A3">
      <w:pPr>
        <w:numPr>
          <w:ilvl w:val="0"/>
          <w:numId w:val="3"/>
        </w:numPr>
        <w:spacing w:after="0"/>
        <w:jc w:val="both"/>
        <w:rPr>
          <w:lang w:val="fr-FR"/>
        </w:rPr>
      </w:pPr>
      <w:r w:rsidRPr="004C0045">
        <w:rPr>
          <w:lang w:val="fr-FR"/>
        </w:rPr>
        <w:t xml:space="preserve">La société ayant fait ou faisant publiquement appel à l’épargne : le concept et ses enjeux à l’aube d’une nouvelle réforme des lois coordonnées sur les sociétés commerciales », </w:t>
      </w:r>
      <w:r w:rsidRPr="004C0045">
        <w:rPr>
          <w:i/>
          <w:lang w:val="fr-FR"/>
        </w:rPr>
        <w:t xml:space="preserve">R.P.S. </w:t>
      </w:r>
      <w:r w:rsidRPr="004C0045">
        <w:rPr>
          <w:lang w:val="fr-FR"/>
        </w:rPr>
        <w:t>1994, pp. 341 et suiv.</w:t>
      </w:r>
    </w:p>
    <w:p w14:paraId="4966B127" w14:textId="1B0BC3F8" w:rsidR="004C0045" w:rsidRPr="004C0045" w:rsidRDefault="004C0045" w:rsidP="000151A3">
      <w:pPr>
        <w:numPr>
          <w:ilvl w:val="0"/>
          <w:numId w:val="3"/>
        </w:numPr>
        <w:spacing w:after="0"/>
        <w:jc w:val="both"/>
        <w:rPr>
          <w:lang w:val="fr-FR"/>
        </w:rPr>
      </w:pPr>
      <w:r w:rsidRPr="004C0045">
        <w:rPr>
          <w:lang w:val="fr-FR"/>
        </w:rPr>
        <w:t xml:space="preserve">Les situations de blocage au sein du conseil d’administration de la société anonyme à la suite de l’application de l’article 60 L.C.S.C. relatif à la dualité d’intérêts (avec C. Bertsch), </w:t>
      </w:r>
      <w:r w:rsidRPr="004C0045">
        <w:rPr>
          <w:i/>
          <w:lang w:val="fr-FR"/>
        </w:rPr>
        <w:t>R.P.S.</w:t>
      </w:r>
      <w:r w:rsidRPr="004C0045">
        <w:rPr>
          <w:lang w:val="fr-FR"/>
        </w:rPr>
        <w:t xml:space="preserve"> 1995, pp. 32 et suiv.</w:t>
      </w:r>
    </w:p>
    <w:p w14:paraId="372A7191" w14:textId="7A33B4FA" w:rsidR="004C0045" w:rsidRPr="004C0045" w:rsidRDefault="004C0045" w:rsidP="000151A3">
      <w:pPr>
        <w:numPr>
          <w:ilvl w:val="0"/>
          <w:numId w:val="3"/>
        </w:numPr>
        <w:spacing w:after="0"/>
        <w:jc w:val="both"/>
        <w:rPr>
          <w:lang w:val="fr-FR"/>
        </w:rPr>
      </w:pPr>
      <w:r w:rsidRPr="004C0045">
        <w:rPr>
          <w:lang w:val="fr-FR"/>
        </w:rPr>
        <w:t xml:space="preserve">Le secret bancaire et le contrôle de l’Etat sur les opérations de change et sur leurs effets délictuels en Belgique » (avec Ph. Lambrecht), in </w:t>
      </w:r>
      <w:r w:rsidRPr="004C0045">
        <w:rPr>
          <w:i/>
          <w:lang w:val="fr-FR"/>
        </w:rPr>
        <w:t xml:space="preserve">Blanchiment d’argent et secret bancaire, </w:t>
      </w:r>
      <w:r w:rsidRPr="004C0045">
        <w:rPr>
          <w:lang w:val="fr-FR"/>
        </w:rPr>
        <w:t>éd. P. Bernasconi, Kluwer Law International, 1996, pp. 49 et suiv.</w:t>
      </w:r>
    </w:p>
    <w:p w14:paraId="0A0C9D4C" w14:textId="623B4639" w:rsidR="004C0045" w:rsidRPr="004C0045" w:rsidRDefault="004C0045" w:rsidP="000151A3">
      <w:pPr>
        <w:numPr>
          <w:ilvl w:val="0"/>
          <w:numId w:val="3"/>
        </w:numPr>
        <w:spacing w:after="0"/>
        <w:jc w:val="both"/>
        <w:rPr>
          <w:lang w:val="fr-FR"/>
        </w:rPr>
      </w:pPr>
      <w:r w:rsidRPr="004C0045">
        <w:rPr>
          <w:lang w:val="fr-FR"/>
        </w:rPr>
        <w:t xml:space="preserve">Liberté d’établissement et libre prestation de services en matière de services financiers », in </w:t>
      </w:r>
      <w:r w:rsidRPr="004C0045">
        <w:rPr>
          <w:i/>
          <w:lang w:val="fr-FR"/>
        </w:rPr>
        <w:t xml:space="preserve">La nouvelle bourse de Bruxelles après le Big Bang bis, </w:t>
      </w:r>
      <w:r w:rsidRPr="004C0045">
        <w:rPr>
          <w:lang w:val="fr-FR"/>
        </w:rPr>
        <w:t>Colloque Sky Room Events, 14 février 1996</w:t>
      </w:r>
    </w:p>
    <w:p w14:paraId="5DABB66C" w14:textId="04EF603C" w:rsidR="004C0045" w:rsidRPr="004C0045" w:rsidRDefault="004C0045" w:rsidP="000151A3">
      <w:pPr>
        <w:numPr>
          <w:ilvl w:val="0"/>
          <w:numId w:val="3"/>
        </w:numPr>
        <w:spacing w:after="0"/>
        <w:jc w:val="both"/>
        <w:rPr>
          <w:lang w:val="fr-FR"/>
        </w:rPr>
      </w:pPr>
      <w:r w:rsidRPr="004C0045">
        <w:rPr>
          <w:lang w:val="fr-FR"/>
        </w:rPr>
        <w:t xml:space="preserve">Le nouveau régime des activités transfrontalières des entreprises d’investissement », in </w:t>
      </w:r>
      <w:r w:rsidRPr="004C0045">
        <w:rPr>
          <w:i/>
          <w:lang w:val="fr-FR"/>
        </w:rPr>
        <w:t>Marchés financiers : nouvelle organisation</w:t>
      </w:r>
      <w:r w:rsidRPr="004C0045">
        <w:rPr>
          <w:lang w:val="fr-FR"/>
        </w:rPr>
        <w:t>, Colloque Development Institute International, Paris, 29-30 mai 1996</w:t>
      </w:r>
    </w:p>
    <w:p w14:paraId="5EF99762" w14:textId="3DC6C207" w:rsidR="004C0045" w:rsidRPr="004C0045" w:rsidRDefault="004C0045" w:rsidP="000151A3">
      <w:pPr>
        <w:numPr>
          <w:ilvl w:val="0"/>
          <w:numId w:val="3"/>
        </w:numPr>
        <w:spacing w:after="0"/>
        <w:jc w:val="both"/>
        <w:rPr>
          <w:lang w:val="fr-FR"/>
        </w:rPr>
      </w:pPr>
      <w:r w:rsidRPr="004C0045">
        <w:rPr>
          <w:lang w:val="fr-FR"/>
        </w:rPr>
        <w:t xml:space="preserve">Le sort des contrats commerciaux en cas de cession d’entreprise », in </w:t>
      </w:r>
      <w:r w:rsidRPr="004C0045">
        <w:rPr>
          <w:i/>
          <w:lang w:val="fr-FR"/>
        </w:rPr>
        <w:t xml:space="preserve">Les cessions d’entreprises, </w:t>
      </w:r>
      <w:r w:rsidRPr="004C0045">
        <w:rPr>
          <w:lang w:val="fr-FR"/>
        </w:rPr>
        <w:t>Colloque Van Ham &amp; Van Ham, 14 novembre 1996</w:t>
      </w:r>
    </w:p>
    <w:p w14:paraId="0CBB7423" w14:textId="6A527418" w:rsidR="004C0045" w:rsidRPr="004C0045" w:rsidRDefault="004C0045" w:rsidP="000151A3">
      <w:pPr>
        <w:numPr>
          <w:ilvl w:val="0"/>
          <w:numId w:val="3"/>
        </w:numPr>
        <w:spacing w:after="0"/>
        <w:jc w:val="both"/>
        <w:rPr>
          <w:lang w:val="fr-FR"/>
        </w:rPr>
      </w:pPr>
      <w:r w:rsidRPr="004C0045">
        <w:rPr>
          <w:lang w:val="fr-FR"/>
        </w:rPr>
        <w:t xml:space="preserve">Les clauses et techniques limitatives de la responsabilité des dirigeants d’entreprises », in </w:t>
      </w:r>
      <w:r w:rsidRPr="004C0045">
        <w:rPr>
          <w:i/>
          <w:lang w:val="fr-FR"/>
        </w:rPr>
        <w:t>La responsabilité des dirigeants d’entreprises,</w:t>
      </w:r>
      <w:r w:rsidRPr="004C0045">
        <w:rPr>
          <w:lang w:val="fr-FR"/>
        </w:rPr>
        <w:t xml:space="preserve"> Colloques Infotopics, 27 février 1997 et 6 mai 1998</w:t>
      </w:r>
    </w:p>
    <w:p w14:paraId="09DE6CE8" w14:textId="3DF9EAFE" w:rsidR="004C0045" w:rsidRPr="004C0045" w:rsidRDefault="004C0045" w:rsidP="000151A3">
      <w:pPr>
        <w:numPr>
          <w:ilvl w:val="0"/>
          <w:numId w:val="3"/>
        </w:numPr>
        <w:spacing w:after="0"/>
        <w:jc w:val="both"/>
        <w:rPr>
          <w:lang w:val="fr-FR"/>
        </w:rPr>
      </w:pPr>
      <w:r w:rsidRPr="004C0045">
        <w:rPr>
          <w:lang w:val="fr-FR"/>
        </w:rPr>
        <w:t>Les conflits d’intérêts » et « les délits d’initiés », cours donnés en novembre 1999 dans le cadre d’un programme de 3</w:t>
      </w:r>
      <w:r w:rsidRPr="004C0045">
        <w:rPr>
          <w:vertAlign w:val="superscript"/>
          <w:lang w:val="fr-FR"/>
        </w:rPr>
        <w:t>ème</w:t>
      </w:r>
      <w:r w:rsidRPr="004C0045">
        <w:rPr>
          <w:lang w:val="fr-FR"/>
        </w:rPr>
        <w:t xml:space="preserve"> cycle de l’Ecole de commerce de Solvay</w:t>
      </w:r>
    </w:p>
    <w:p w14:paraId="1350CA0B" w14:textId="012CD0C9" w:rsidR="004C0045" w:rsidRPr="004C0045" w:rsidRDefault="004C0045" w:rsidP="000151A3">
      <w:pPr>
        <w:numPr>
          <w:ilvl w:val="0"/>
          <w:numId w:val="3"/>
        </w:numPr>
        <w:spacing w:after="0"/>
        <w:jc w:val="both"/>
        <w:rPr>
          <w:lang w:val="fr-FR"/>
        </w:rPr>
      </w:pPr>
      <w:r w:rsidRPr="004C0045">
        <w:rPr>
          <w:lang w:val="fr-FR"/>
        </w:rPr>
        <w:t xml:space="preserve">Le régime juridique du rachat d’actions propres » (avec T. Partsch), in </w:t>
      </w:r>
      <w:r w:rsidRPr="004C0045">
        <w:rPr>
          <w:i/>
          <w:lang w:val="fr-FR"/>
        </w:rPr>
        <w:t xml:space="preserve">rachat d’actions propres : aspects juridiques et financiers, </w:t>
      </w:r>
      <w:r w:rsidRPr="004C0045">
        <w:rPr>
          <w:lang w:val="fr-FR"/>
        </w:rPr>
        <w:t>Colloque EFE, 19 novembre 1998</w:t>
      </w:r>
    </w:p>
    <w:p w14:paraId="18EA824D" w14:textId="6E8F8A3E" w:rsidR="004C0045" w:rsidRPr="004C0045" w:rsidRDefault="004C0045" w:rsidP="000151A3">
      <w:pPr>
        <w:numPr>
          <w:ilvl w:val="0"/>
          <w:numId w:val="3"/>
        </w:numPr>
        <w:spacing w:after="0"/>
        <w:jc w:val="both"/>
        <w:rPr>
          <w:lang w:val="fr-FR"/>
        </w:rPr>
      </w:pPr>
      <w:r w:rsidRPr="004C0045">
        <w:rPr>
          <w:lang w:val="fr-FR"/>
        </w:rPr>
        <w:lastRenderedPageBreak/>
        <w:t xml:space="preserve">Les obligations d’information et de conseil de l’émetteur et de l’intermédiaire financier en matière de services d’investissement », in </w:t>
      </w:r>
      <w:r w:rsidRPr="004C0045">
        <w:rPr>
          <w:i/>
          <w:lang w:val="fr-FR"/>
        </w:rPr>
        <w:t>La protection de l’investisseur et de l’e-investisseur</w:t>
      </w:r>
      <w:r w:rsidRPr="004C0045">
        <w:rPr>
          <w:lang w:val="fr-FR"/>
        </w:rPr>
        <w:t>, colloque AEDBF-Belgium, le 27 avril 2001</w:t>
      </w:r>
    </w:p>
    <w:p w14:paraId="3CD7BFA8" w14:textId="61421159" w:rsidR="004C0045" w:rsidRPr="004C0045" w:rsidRDefault="004C0045" w:rsidP="000151A3">
      <w:pPr>
        <w:numPr>
          <w:ilvl w:val="0"/>
          <w:numId w:val="3"/>
        </w:numPr>
        <w:spacing w:after="0"/>
        <w:jc w:val="both"/>
        <w:rPr>
          <w:lang w:val="fr-FR"/>
        </w:rPr>
      </w:pPr>
      <w:r w:rsidRPr="004C0045">
        <w:rPr>
          <w:lang w:val="fr-FR"/>
        </w:rPr>
        <w:t xml:space="preserve">La </w:t>
      </w:r>
      <w:r w:rsidR="005D7060" w:rsidRPr="004C0045">
        <w:rPr>
          <w:lang w:val="fr-FR"/>
        </w:rPr>
        <w:t>réforme</w:t>
      </w:r>
      <w:r w:rsidRPr="004C0045">
        <w:rPr>
          <w:lang w:val="fr-FR"/>
        </w:rPr>
        <w:t xml:space="preserve"> de la surveillance du secteur financier par les lois du 2 août 2002 – Article de synthèse sur la loi du 2 août 2002 » (avec Ph. Lambrecht), </w:t>
      </w:r>
      <w:r w:rsidRPr="004C0045">
        <w:rPr>
          <w:i/>
          <w:lang w:val="fr-FR"/>
        </w:rPr>
        <w:t xml:space="preserve">R.P.S., </w:t>
      </w:r>
      <w:r w:rsidRPr="004C0045">
        <w:rPr>
          <w:lang w:val="fr-FR"/>
        </w:rPr>
        <w:t>2002</w:t>
      </w:r>
    </w:p>
    <w:p w14:paraId="297E7661" w14:textId="24FA827D" w:rsidR="004C0045" w:rsidRPr="004C0045" w:rsidRDefault="004C0045" w:rsidP="000151A3">
      <w:pPr>
        <w:numPr>
          <w:ilvl w:val="0"/>
          <w:numId w:val="3"/>
        </w:numPr>
        <w:spacing w:after="0"/>
        <w:jc w:val="both"/>
        <w:rPr>
          <w:lang w:val="fr-FR"/>
        </w:rPr>
      </w:pPr>
      <w:r w:rsidRPr="004C0045">
        <w:rPr>
          <w:lang w:val="fr-FR"/>
        </w:rPr>
        <w:t>Le cadre institutionnel (des marchés financiers), Titre 1</w:t>
      </w:r>
      <w:r w:rsidRPr="004C0045">
        <w:rPr>
          <w:vertAlign w:val="superscript"/>
          <w:lang w:val="fr-FR"/>
        </w:rPr>
        <w:t>er</w:t>
      </w:r>
      <w:r w:rsidRPr="004C0045">
        <w:rPr>
          <w:lang w:val="fr-FR"/>
        </w:rPr>
        <w:t xml:space="preserve"> du Tome V (Droit financier) du Traité pratique de droit commercial (avec H. Culot), Kluwer, 2007.</w:t>
      </w:r>
    </w:p>
    <w:p w14:paraId="42E21309" w14:textId="0D9CBF1A" w:rsidR="00CA21F6" w:rsidRPr="00D67202" w:rsidRDefault="004C0045" w:rsidP="0092357F">
      <w:pPr>
        <w:numPr>
          <w:ilvl w:val="0"/>
          <w:numId w:val="3"/>
        </w:numPr>
        <w:spacing w:after="0"/>
        <w:jc w:val="both"/>
        <w:rPr>
          <w:b/>
          <w:sz w:val="22"/>
          <w:szCs w:val="28"/>
          <w:lang w:val="fr-FR"/>
        </w:rPr>
      </w:pPr>
      <w:r w:rsidRPr="00D67202">
        <w:rPr>
          <w:i/>
          <w:lang w:val="fr-FR"/>
        </w:rPr>
        <w:t>Les voies de recours</w:t>
      </w:r>
      <w:r w:rsidRPr="00D67202">
        <w:rPr>
          <w:lang w:val="fr-FR"/>
        </w:rPr>
        <w:t> », in La réforme de la réglementation sur les offres publiques d’acquisition, Kluwer, 2007</w:t>
      </w:r>
      <w:r w:rsidR="000151A3" w:rsidRPr="00D67202">
        <w:rPr>
          <w:sz w:val="22"/>
          <w:szCs w:val="28"/>
          <w:lang w:val="fr-FR"/>
        </w:rPr>
        <w:br/>
      </w:r>
    </w:p>
    <w:p w14:paraId="22A8562F" w14:textId="1B7A6E31" w:rsidR="004C0045" w:rsidRPr="004C0045" w:rsidRDefault="004C0045" w:rsidP="000151A3">
      <w:pPr>
        <w:spacing w:after="0"/>
        <w:rPr>
          <w:b/>
          <w:sz w:val="22"/>
          <w:szCs w:val="28"/>
          <w:lang w:val="fr-FR"/>
        </w:rPr>
      </w:pPr>
      <w:r w:rsidRPr="004C0045">
        <w:rPr>
          <w:b/>
          <w:sz w:val="18"/>
          <w:szCs w:val="22"/>
          <w:lang w:val="fr-FR"/>
        </w:rPr>
        <w:t>Arbitration Law</w:t>
      </w:r>
      <w:r w:rsidR="000151A3" w:rsidRPr="005B100E">
        <w:rPr>
          <w:b/>
          <w:sz w:val="22"/>
          <w:szCs w:val="28"/>
          <w:lang w:val="fr-FR"/>
        </w:rPr>
        <w:br/>
      </w:r>
    </w:p>
    <w:p w14:paraId="084AF1F7" w14:textId="15734AA3" w:rsidR="004C0045" w:rsidRPr="004C0045" w:rsidRDefault="004C0045" w:rsidP="005B100E">
      <w:pPr>
        <w:numPr>
          <w:ilvl w:val="0"/>
          <w:numId w:val="3"/>
        </w:numPr>
        <w:spacing w:after="0"/>
        <w:rPr>
          <w:sz w:val="18"/>
          <w:szCs w:val="22"/>
          <w:lang w:val="fr-FR"/>
        </w:rPr>
      </w:pPr>
      <w:r w:rsidRPr="004C0045">
        <w:rPr>
          <w:sz w:val="18"/>
          <w:szCs w:val="22"/>
          <w:lang w:val="fr-FR"/>
        </w:rPr>
        <w:t>Recueil de sentences arbitrales du Cepani (1985-1995), Bruxelles, Bruylant, 2005, note sous sentence arbitrale n° 1046, pp. 103-118, et note sous sentence arbitrale n° 1088, pp. 323-35</w:t>
      </w:r>
    </w:p>
    <w:p w14:paraId="4C5276B9" w14:textId="3F224360" w:rsidR="004C0045" w:rsidRPr="005B100E" w:rsidRDefault="004C0045" w:rsidP="005B100E">
      <w:pPr>
        <w:numPr>
          <w:ilvl w:val="0"/>
          <w:numId w:val="3"/>
        </w:numPr>
        <w:spacing w:after="0"/>
        <w:rPr>
          <w:sz w:val="18"/>
          <w:szCs w:val="22"/>
          <w:lang w:val="fr-FR"/>
        </w:rPr>
      </w:pPr>
      <w:r w:rsidRPr="004C0045">
        <w:rPr>
          <w:sz w:val="18"/>
          <w:szCs w:val="22"/>
          <w:lang w:val="fr-FR"/>
        </w:rPr>
        <w:t>Recueil de sentences arbitrales du Cepani (1986-2011), Bruxelles, Bruylant, 2008, note sous sentence arbitrale n° 2120, pp. 316-343</w:t>
      </w:r>
    </w:p>
    <w:p w14:paraId="5DAB722F" w14:textId="5DABA1F7" w:rsidR="004C0045" w:rsidRPr="004C0045" w:rsidRDefault="004C0045" w:rsidP="005B100E">
      <w:pPr>
        <w:numPr>
          <w:ilvl w:val="0"/>
          <w:numId w:val="3"/>
        </w:numPr>
        <w:spacing w:after="0"/>
        <w:rPr>
          <w:sz w:val="18"/>
          <w:szCs w:val="22"/>
          <w:lang w:val="fr-FR"/>
        </w:rPr>
      </w:pPr>
      <w:r w:rsidRPr="004C0045">
        <w:rPr>
          <w:i/>
          <w:sz w:val="18"/>
          <w:szCs w:val="22"/>
          <w:lang w:val="fr-BE"/>
        </w:rPr>
        <w:t>La preuve dans l’acte de mission et l’instance</w:t>
      </w:r>
      <w:r w:rsidRPr="004C0045">
        <w:rPr>
          <w:sz w:val="18"/>
          <w:szCs w:val="22"/>
          <w:lang w:val="fr-BE"/>
        </w:rPr>
        <w:t>”, in</w:t>
      </w:r>
      <w:r w:rsidRPr="004C0045">
        <w:rPr>
          <w:b/>
          <w:bCs/>
          <w:i/>
          <w:iCs/>
          <w:sz w:val="18"/>
          <w:szCs w:val="22"/>
          <w:lang w:val="fr-BE"/>
        </w:rPr>
        <w:t xml:space="preserve"> </w:t>
      </w:r>
      <w:r w:rsidRPr="004C0045">
        <w:rPr>
          <w:sz w:val="18"/>
          <w:szCs w:val="22"/>
          <w:lang w:val="fr-BE"/>
        </w:rPr>
        <w:t>L'administration de la preuve en matière d'arbitrage, Bruylant, 2009</w:t>
      </w:r>
    </w:p>
    <w:p w14:paraId="1269F449" w14:textId="2AC12009" w:rsidR="004C0045" w:rsidRPr="004C0045" w:rsidRDefault="004C0045" w:rsidP="005B100E">
      <w:pPr>
        <w:numPr>
          <w:ilvl w:val="0"/>
          <w:numId w:val="3"/>
        </w:numPr>
        <w:spacing w:after="0"/>
        <w:rPr>
          <w:sz w:val="18"/>
          <w:szCs w:val="22"/>
          <w:lang w:val="en-US"/>
        </w:rPr>
      </w:pPr>
      <w:r w:rsidRPr="004C0045">
        <w:rPr>
          <w:i/>
          <w:sz w:val="18"/>
          <w:szCs w:val="22"/>
          <w:lang w:val="en-US"/>
        </w:rPr>
        <w:t>L’instance arbitrale</w:t>
      </w:r>
      <w:r w:rsidRPr="004C0045">
        <w:rPr>
          <w:sz w:val="18"/>
          <w:szCs w:val="22"/>
          <w:lang w:val="en-US"/>
        </w:rPr>
        <w:t xml:space="preserve">”, at the seminar organized by the Catholic University of Louvain-La-Neuve, 8 March 2012, arbitral </w:t>
      </w:r>
      <w:r w:rsidR="005D7060" w:rsidRPr="004C0045">
        <w:rPr>
          <w:sz w:val="18"/>
          <w:szCs w:val="22"/>
          <w:lang w:val="en-US"/>
        </w:rPr>
        <w:t>proceedings:</w:t>
      </w:r>
      <w:r w:rsidRPr="004C0045">
        <w:rPr>
          <w:sz w:val="18"/>
          <w:szCs w:val="22"/>
          <w:lang w:val="en-US"/>
        </w:rPr>
        <w:t xml:space="preserve"> a practical and comparative approach</w:t>
      </w:r>
    </w:p>
    <w:p w14:paraId="313E3D11" w14:textId="5CB638C1" w:rsidR="004C0045" w:rsidRPr="004C0045" w:rsidRDefault="004C0045" w:rsidP="005B100E">
      <w:pPr>
        <w:numPr>
          <w:ilvl w:val="0"/>
          <w:numId w:val="3"/>
        </w:numPr>
        <w:spacing w:after="0"/>
        <w:rPr>
          <w:sz w:val="18"/>
          <w:szCs w:val="22"/>
          <w:lang w:val="fr-FR"/>
        </w:rPr>
      </w:pPr>
      <w:r w:rsidRPr="004C0045">
        <w:rPr>
          <w:sz w:val="18"/>
          <w:szCs w:val="22"/>
          <w:lang w:val="fr-BE"/>
        </w:rPr>
        <w:t>“</w:t>
      </w:r>
      <w:r w:rsidRPr="004C0045">
        <w:rPr>
          <w:i/>
          <w:sz w:val="18"/>
          <w:szCs w:val="22"/>
          <w:lang w:val="fr-BE"/>
        </w:rPr>
        <w:t xml:space="preserve">Juge étatique et arbitre : collaboration ou </w:t>
      </w:r>
      <w:r w:rsidR="005D7060" w:rsidRPr="004C0045">
        <w:rPr>
          <w:i/>
          <w:sz w:val="18"/>
          <w:szCs w:val="22"/>
          <w:lang w:val="fr-BE"/>
        </w:rPr>
        <w:t>confrontation ?</w:t>
      </w:r>
      <w:r w:rsidRPr="004C0045">
        <w:rPr>
          <w:i/>
          <w:sz w:val="18"/>
          <w:szCs w:val="22"/>
          <w:lang w:val="fr-BE"/>
        </w:rPr>
        <w:t xml:space="preserve"> </w:t>
      </w:r>
      <w:r w:rsidRPr="004C0045">
        <w:rPr>
          <w:i/>
          <w:sz w:val="18"/>
          <w:szCs w:val="22"/>
          <w:lang w:val="fr-FR"/>
        </w:rPr>
        <w:t>Questions choisies</w:t>
      </w:r>
      <w:r w:rsidRPr="004C0045">
        <w:rPr>
          <w:sz w:val="18"/>
          <w:szCs w:val="22"/>
          <w:lang w:val="fr-FR"/>
        </w:rPr>
        <w:t>” in Hommage à Guy Keutgen, CEPANI, Bruylant, 2013, p. 769</w:t>
      </w:r>
    </w:p>
    <w:p w14:paraId="55E1BE75" w14:textId="463F26A5" w:rsidR="004C0045" w:rsidRPr="004C0045" w:rsidRDefault="004C0045" w:rsidP="005B100E">
      <w:pPr>
        <w:numPr>
          <w:ilvl w:val="0"/>
          <w:numId w:val="3"/>
        </w:numPr>
        <w:spacing w:after="0"/>
        <w:rPr>
          <w:sz w:val="18"/>
          <w:szCs w:val="22"/>
          <w:lang w:val="en-US"/>
        </w:rPr>
      </w:pPr>
      <w:r w:rsidRPr="004C0045">
        <w:rPr>
          <w:sz w:val="18"/>
          <w:szCs w:val="22"/>
          <w:lang w:val="en-US"/>
        </w:rPr>
        <w:t xml:space="preserve">Note on the Brussels Court of Appeal decision of 3 December 2012, (with S. Goldman), </w:t>
      </w:r>
      <w:r w:rsidRPr="004C0045">
        <w:rPr>
          <w:i/>
          <w:sz w:val="18"/>
          <w:szCs w:val="22"/>
          <w:lang w:val="en-US"/>
        </w:rPr>
        <w:t>b</w:t>
      </w:r>
      <w:r w:rsidRPr="004C0045">
        <w:rPr>
          <w:sz w:val="18"/>
          <w:szCs w:val="22"/>
          <w:lang w:val="en-US"/>
        </w:rPr>
        <w:t>-Arbitra, Bruylant, 2013/2, p. 433</w:t>
      </w:r>
    </w:p>
    <w:p w14:paraId="504DD3FC" w14:textId="70AEDC85" w:rsidR="004C0045" w:rsidRPr="004C0045" w:rsidRDefault="004C0045" w:rsidP="005B100E">
      <w:pPr>
        <w:numPr>
          <w:ilvl w:val="0"/>
          <w:numId w:val="3"/>
        </w:numPr>
        <w:spacing w:after="0"/>
        <w:rPr>
          <w:sz w:val="18"/>
          <w:szCs w:val="22"/>
          <w:lang w:val="fr-BE"/>
        </w:rPr>
      </w:pPr>
      <w:r w:rsidRPr="004C0045">
        <w:rPr>
          <w:i/>
          <w:sz w:val="18"/>
          <w:szCs w:val="22"/>
          <w:lang w:val="fr-BE"/>
        </w:rPr>
        <w:t>Le nouveau règlement d’arbitrage du Centre belge d’Arbitrage et de Médiation</w:t>
      </w:r>
      <w:r w:rsidRPr="004C0045">
        <w:rPr>
          <w:sz w:val="18"/>
          <w:szCs w:val="22"/>
          <w:lang w:val="fr-BE"/>
        </w:rPr>
        <w:t xml:space="preserve"> (CEPANI) in Revue de l’arbitrage, Paris, 2013/4, p. 1089</w:t>
      </w:r>
    </w:p>
    <w:p w14:paraId="7206F518" w14:textId="662A0F47" w:rsidR="004C0045" w:rsidRPr="004C0045" w:rsidRDefault="004C0045" w:rsidP="005B100E">
      <w:pPr>
        <w:numPr>
          <w:ilvl w:val="0"/>
          <w:numId w:val="3"/>
        </w:numPr>
        <w:spacing w:after="0"/>
        <w:rPr>
          <w:sz w:val="18"/>
          <w:szCs w:val="22"/>
          <w:lang w:val="en-US"/>
        </w:rPr>
      </w:pPr>
      <w:r w:rsidRPr="004C0045">
        <w:rPr>
          <w:sz w:val="18"/>
          <w:szCs w:val="22"/>
          <w:lang w:val="en-US"/>
        </w:rPr>
        <w:t xml:space="preserve">Annulment of awards, note on the Cour de Cassation decision of 7 November 2013 and the Brussels Court of Appeal decision of 6 December 2011 (with S. Goldman), </w:t>
      </w:r>
      <w:r w:rsidRPr="004C0045">
        <w:rPr>
          <w:i/>
          <w:sz w:val="18"/>
          <w:szCs w:val="22"/>
          <w:lang w:val="en-US"/>
        </w:rPr>
        <w:t>b</w:t>
      </w:r>
      <w:r w:rsidRPr="004C0045">
        <w:rPr>
          <w:sz w:val="18"/>
          <w:szCs w:val="22"/>
          <w:lang w:val="en-US"/>
        </w:rPr>
        <w:t>- Arbitra, 2014/1, p. 221</w:t>
      </w:r>
    </w:p>
    <w:p w14:paraId="5BFC4608" w14:textId="54A9AAF1" w:rsidR="004C0045" w:rsidRPr="005B100E" w:rsidRDefault="004C0045" w:rsidP="005B100E">
      <w:pPr>
        <w:pStyle w:val="ListParagraph"/>
        <w:numPr>
          <w:ilvl w:val="0"/>
          <w:numId w:val="3"/>
        </w:numPr>
        <w:spacing w:after="0"/>
        <w:rPr>
          <w:sz w:val="18"/>
          <w:szCs w:val="22"/>
          <w:lang w:val="fr-BE"/>
        </w:rPr>
      </w:pPr>
      <w:r w:rsidRPr="005B100E">
        <w:rPr>
          <w:i/>
          <w:sz w:val="18"/>
          <w:szCs w:val="22"/>
          <w:lang w:val="fr-BE"/>
        </w:rPr>
        <w:t xml:space="preserve">La confidentialité de l’arbitrage : valeur cardinale ou </w:t>
      </w:r>
      <w:r w:rsidR="005D7060" w:rsidRPr="005B100E">
        <w:rPr>
          <w:i/>
          <w:sz w:val="18"/>
          <w:szCs w:val="22"/>
          <w:lang w:val="fr-BE"/>
        </w:rPr>
        <w:t>poncif ?</w:t>
      </w:r>
      <w:r w:rsidRPr="005B100E">
        <w:rPr>
          <w:sz w:val="18"/>
          <w:szCs w:val="22"/>
          <w:lang w:val="fr-BE"/>
        </w:rPr>
        <w:t>” in Arbitrage et Confidentialité, Cepani/Bruylant, 2014, p.23</w:t>
      </w:r>
    </w:p>
    <w:p w14:paraId="3A7044AB" w14:textId="5A83F053" w:rsidR="004C0045" w:rsidRPr="004C0045" w:rsidRDefault="004C0045" w:rsidP="005B100E">
      <w:pPr>
        <w:numPr>
          <w:ilvl w:val="0"/>
          <w:numId w:val="3"/>
        </w:numPr>
        <w:spacing w:after="0"/>
        <w:rPr>
          <w:sz w:val="18"/>
          <w:szCs w:val="22"/>
          <w:lang w:val="fr-BE"/>
        </w:rPr>
      </w:pPr>
      <w:r w:rsidRPr="004C0045">
        <w:rPr>
          <w:i/>
          <w:iCs/>
          <w:sz w:val="18"/>
          <w:szCs w:val="22"/>
          <w:lang w:val="fr-BE"/>
        </w:rPr>
        <w:t xml:space="preserve">L’autonomie de la volonté, le droit </w:t>
      </w:r>
      <w:r w:rsidR="005D7060">
        <w:rPr>
          <w:i/>
          <w:iCs/>
          <w:sz w:val="18"/>
          <w:szCs w:val="22"/>
          <w:lang w:val="fr-BE"/>
        </w:rPr>
        <w:t>applicable</w:t>
      </w:r>
      <w:r w:rsidRPr="004C0045">
        <w:rPr>
          <w:i/>
          <w:iCs/>
          <w:sz w:val="18"/>
          <w:szCs w:val="22"/>
          <w:lang w:val="fr-BE"/>
        </w:rPr>
        <w:t xml:space="preserve"> et l’arbitrage international »</w:t>
      </w:r>
      <w:r w:rsidRPr="004C0045">
        <w:rPr>
          <w:sz w:val="18"/>
          <w:szCs w:val="22"/>
          <w:lang w:val="fr-BE"/>
        </w:rPr>
        <w:t xml:space="preserve"> (with J. Kleinheisterkamp), in Contrats internationaux et Arbitrage, Larcier, Bruxelles, 2014, p ;135 et s.</w:t>
      </w:r>
    </w:p>
    <w:p w14:paraId="2D0558DA" w14:textId="4E3C643A" w:rsidR="004C0045" w:rsidRPr="004C0045" w:rsidRDefault="004C0045" w:rsidP="005B100E">
      <w:pPr>
        <w:numPr>
          <w:ilvl w:val="0"/>
          <w:numId w:val="3"/>
        </w:numPr>
        <w:spacing w:after="0"/>
        <w:rPr>
          <w:sz w:val="18"/>
          <w:szCs w:val="22"/>
          <w:lang w:val="fr-BE"/>
        </w:rPr>
      </w:pPr>
      <w:r w:rsidRPr="004C0045">
        <w:rPr>
          <w:i/>
          <w:sz w:val="18"/>
          <w:szCs w:val="22"/>
          <w:lang w:val="fr-BE"/>
        </w:rPr>
        <w:t>L’usage des langues en arbitrage</w:t>
      </w:r>
      <w:r w:rsidRPr="004C0045">
        <w:rPr>
          <w:sz w:val="18"/>
          <w:szCs w:val="22"/>
          <w:lang w:val="fr-FR"/>
        </w:rPr>
        <w:t>” (with P. Tercier et P.M. Patocchi), in Revue de l’Arbitrage, 2016 – N°3, p. 749</w:t>
      </w:r>
    </w:p>
    <w:p w14:paraId="2F3AA4AF" w14:textId="7096B97C" w:rsidR="004C0045" w:rsidRPr="004C0045" w:rsidRDefault="004C0045" w:rsidP="005B100E">
      <w:pPr>
        <w:numPr>
          <w:ilvl w:val="0"/>
          <w:numId w:val="3"/>
        </w:numPr>
        <w:spacing w:after="0"/>
        <w:rPr>
          <w:sz w:val="18"/>
          <w:szCs w:val="22"/>
          <w:lang w:val="fr-BE"/>
        </w:rPr>
      </w:pPr>
      <w:r w:rsidRPr="004C0045">
        <w:rPr>
          <w:i/>
          <w:iCs/>
          <w:sz w:val="18"/>
          <w:szCs w:val="22"/>
          <w:lang w:val="fr-BE"/>
        </w:rPr>
        <w:t>L’exécution des sentences arbitrales en Belgique »</w:t>
      </w:r>
      <w:r w:rsidRPr="004C0045">
        <w:rPr>
          <w:sz w:val="18"/>
          <w:szCs w:val="22"/>
          <w:lang w:val="fr-BE"/>
        </w:rPr>
        <w:t>, in le Règlement des Différends relatifs aux investissements dans l’espace OHADA, Colloque de l’APAA à Douala, Cameroun, 16-17 janvier 2020</w:t>
      </w:r>
    </w:p>
    <w:p w14:paraId="7F177802" w14:textId="41BD0BE1" w:rsidR="004C0045" w:rsidRPr="004C0045" w:rsidRDefault="004C0045" w:rsidP="005B100E">
      <w:pPr>
        <w:numPr>
          <w:ilvl w:val="0"/>
          <w:numId w:val="3"/>
        </w:numPr>
        <w:spacing w:after="0"/>
        <w:rPr>
          <w:sz w:val="18"/>
          <w:szCs w:val="22"/>
          <w:lang w:val="fr-BE"/>
        </w:rPr>
      </w:pPr>
      <w:r w:rsidRPr="004C0045">
        <w:rPr>
          <w:i/>
          <w:iCs/>
          <w:sz w:val="18"/>
          <w:szCs w:val="22"/>
          <w:lang w:val="fr-BE"/>
        </w:rPr>
        <w:t xml:space="preserve">Le conflit étudié sous le prisme de l’arbitrage » </w:t>
      </w:r>
      <w:r w:rsidRPr="004C0045">
        <w:rPr>
          <w:sz w:val="18"/>
          <w:szCs w:val="22"/>
          <w:lang w:val="fr-BE"/>
        </w:rPr>
        <w:t xml:space="preserve">(avec M. Berlingin), in Le conflit : quelles </w:t>
      </w:r>
      <w:r w:rsidR="005D7060" w:rsidRPr="004C0045">
        <w:rPr>
          <w:sz w:val="18"/>
          <w:szCs w:val="22"/>
          <w:lang w:val="fr-BE"/>
        </w:rPr>
        <w:t>approches ?</w:t>
      </w:r>
      <w:r w:rsidRPr="004C0045">
        <w:rPr>
          <w:sz w:val="18"/>
          <w:szCs w:val="22"/>
          <w:lang w:val="fr-BE"/>
        </w:rPr>
        <w:t xml:space="preserve"> Anthemis, 2020, pp. 159-174</w:t>
      </w:r>
    </w:p>
    <w:p w14:paraId="0B1EE98F" w14:textId="2D7AA31F" w:rsidR="004C0045" w:rsidRPr="004C0045" w:rsidRDefault="004C0045" w:rsidP="005B100E">
      <w:pPr>
        <w:numPr>
          <w:ilvl w:val="0"/>
          <w:numId w:val="3"/>
        </w:numPr>
        <w:spacing w:after="0"/>
        <w:rPr>
          <w:i/>
          <w:iCs/>
          <w:sz w:val="18"/>
          <w:szCs w:val="22"/>
          <w:lang w:val="fr-BE"/>
        </w:rPr>
      </w:pPr>
      <w:r w:rsidRPr="004C0045">
        <w:rPr>
          <w:i/>
          <w:iCs/>
          <w:sz w:val="18"/>
          <w:szCs w:val="22"/>
          <w:lang w:val="fr-BE"/>
        </w:rPr>
        <w:t>La libre appréciation par le Tribunal arbitral de l’admissibilité des moyens de preuve et de leur force probante : quelle portée et quelles limites en droit belge ? »</w:t>
      </w:r>
      <w:r w:rsidRPr="004C0045">
        <w:rPr>
          <w:sz w:val="18"/>
          <w:szCs w:val="22"/>
          <w:lang w:val="fr-BE"/>
        </w:rPr>
        <w:t>, in Liber Amicorum Xavier Dieux, Larcier, 2022.</w:t>
      </w:r>
    </w:p>
    <w:p w14:paraId="7F0DC5A6" w14:textId="77777777" w:rsidR="00BA3119" w:rsidRDefault="004C0045" w:rsidP="005B100E">
      <w:pPr>
        <w:numPr>
          <w:ilvl w:val="0"/>
          <w:numId w:val="3"/>
        </w:numPr>
        <w:spacing w:after="0"/>
        <w:rPr>
          <w:i/>
          <w:iCs/>
          <w:sz w:val="18"/>
          <w:szCs w:val="22"/>
          <w:lang w:val="fr-BE"/>
        </w:rPr>
      </w:pPr>
      <w:r w:rsidRPr="004C0045">
        <w:rPr>
          <w:i/>
          <w:iCs/>
          <w:sz w:val="18"/>
          <w:szCs w:val="22"/>
          <w:lang w:val="fr-BE"/>
        </w:rPr>
        <w:t>Libres propos sur l’ex aequo et bono dans la détermination du dommage en matière commerciale </w:t>
      </w:r>
      <w:r w:rsidRPr="004C0045">
        <w:rPr>
          <w:sz w:val="18"/>
          <w:szCs w:val="22"/>
          <w:lang w:val="fr-BE"/>
        </w:rPr>
        <w:t>» in Liber Amicorum Didier Willermain, Larcier, 2023</w:t>
      </w:r>
      <w:r w:rsidRPr="004C0045">
        <w:rPr>
          <w:i/>
          <w:iCs/>
          <w:sz w:val="18"/>
          <w:szCs w:val="22"/>
          <w:lang w:val="fr-BE"/>
        </w:rPr>
        <w:t>.</w:t>
      </w:r>
    </w:p>
    <w:p w14:paraId="30F55216" w14:textId="577F806E" w:rsidR="00D67202" w:rsidRDefault="00D67202" w:rsidP="005B100E">
      <w:pPr>
        <w:numPr>
          <w:ilvl w:val="0"/>
          <w:numId w:val="3"/>
        </w:numPr>
        <w:spacing w:after="0"/>
        <w:rPr>
          <w:i/>
          <w:iCs/>
          <w:sz w:val="18"/>
          <w:szCs w:val="22"/>
          <w:lang w:val="fr-BE"/>
        </w:rPr>
      </w:pPr>
      <w:r>
        <w:rPr>
          <w:i/>
          <w:iCs/>
          <w:sz w:val="18"/>
          <w:szCs w:val="22"/>
          <w:lang w:val="fr-BE"/>
        </w:rPr>
        <w:t xml:space="preserve">Les différences culturelles dans l’arbitrage international, </w:t>
      </w:r>
      <w:r>
        <w:rPr>
          <w:sz w:val="18"/>
          <w:szCs w:val="22"/>
          <w:lang w:val="fr-BE"/>
        </w:rPr>
        <w:t>in Les Journées Africaines de l’Arbitrage et de la Médiation, Libreville, Gabon, juillet 2024.</w:t>
      </w:r>
    </w:p>
    <w:p w14:paraId="50B6AED2" w14:textId="7CFA5E91" w:rsidR="00972FA6" w:rsidRPr="00972FA6" w:rsidRDefault="00BA3119" w:rsidP="005B100E">
      <w:pPr>
        <w:numPr>
          <w:ilvl w:val="0"/>
          <w:numId w:val="3"/>
        </w:numPr>
        <w:spacing w:after="0"/>
        <w:rPr>
          <w:i/>
          <w:iCs/>
          <w:sz w:val="18"/>
          <w:szCs w:val="22"/>
          <w:lang w:val="fr-BE"/>
        </w:rPr>
      </w:pPr>
      <w:r w:rsidRPr="00F84E4F">
        <w:rPr>
          <w:i/>
          <w:iCs/>
          <w:sz w:val="18"/>
          <w:szCs w:val="22"/>
          <w:lang w:val="fr-BE"/>
        </w:rPr>
        <w:t>Les Aspects fi</w:t>
      </w:r>
      <w:r w:rsidR="00C61AD4" w:rsidRPr="00F84E4F">
        <w:rPr>
          <w:i/>
          <w:iCs/>
          <w:sz w:val="18"/>
          <w:szCs w:val="22"/>
          <w:lang w:val="fr-BE"/>
        </w:rPr>
        <w:t>n</w:t>
      </w:r>
      <w:r w:rsidRPr="00F84E4F">
        <w:rPr>
          <w:i/>
          <w:iCs/>
          <w:sz w:val="18"/>
          <w:szCs w:val="22"/>
          <w:lang w:val="fr-BE"/>
        </w:rPr>
        <w:t>anci</w:t>
      </w:r>
      <w:r w:rsidR="00C61AD4" w:rsidRPr="00F84E4F">
        <w:rPr>
          <w:i/>
          <w:iCs/>
          <w:sz w:val="18"/>
          <w:szCs w:val="22"/>
          <w:lang w:val="fr-BE"/>
        </w:rPr>
        <w:t>ers de l’arbitrage</w:t>
      </w:r>
      <w:r w:rsidR="00C61AD4">
        <w:rPr>
          <w:sz w:val="18"/>
          <w:szCs w:val="22"/>
          <w:lang w:val="fr-BE"/>
        </w:rPr>
        <w:t xml:space="preserve"> (with T. </w:t>
      </w:r>
      <w:r w:rsidR="00D67202">
        <w:rPr>
          <w:sz w:val="18"/>
          <w:szCs w:val="22"/>
          <w:lang w:val="fr-BE"/>
        </w:rPr>
        <w:t>Giovannini</w:t>
      </w:r>
      <w:r w:rsidR="00C61AD4">
        <w:rPr>
          <w:sz w:val="18"/>
          <w:szCs w:val="22"/>
          <w:lang w:val="fr-BE"/>
        </w:rPr>
        <w:t>) in Revue de l’Arbitrage</w:t>
      </w:r>
      <w:r w:rsidR="005D7060">
        <w:rPr>
          <w:sz w:val="18"/>
          <w:szCs w:val="22"/>
          <w:lang w:val="fr-BE"/>
        </w:rPr>
        <w:t>,</w:t>
      </w:r>
      <w:r w:rsidR="00C61AD4">
        <w:rPr>
          <w:sz w:val="18"/>
          <w:szCs w:val="22"/>
          <w:lang w:val="fr-BE"/>
        </w:rPr>
        <w:t xml:space="preserve"> </w:t>
      </w:r>
      <w:r w:rsidR="00972FA6">
        <w:rPr>
          <w:sz w:val="18"/>
          <w:szCs w:val="22"/>
          <w:lang w:val="fr-BE"/>
        </w:rPr>
        <w:t>2024, n° 3</w:t>
      </w:r>
    </w:p>
    <w:p w14:paraId="17289CD6" w14:textId="4D940B05" w:rsidR="001771A4" w:rsidRPr="00D67202" w:rsidRDefault="00972FA6" w:rsidP="00D67202">
      <w:pPr>
        <w:numPr>
          <w:ilvl w:val="0"/>
          <w:numId w:val="3"/>
        </w:numPr>
        <w:spacing w:after="0"/>
        <w:rPr>
          <w:i/>
          <w:iCs/>
          <w:sz w:val="18"/>
          <w:szCs w:val="22"/>
          <w:lang w:val="en-US"/>
        </w:rPr>
      </w:pPr>
      <w:r w:rsidRPr="00F84E4F">
        <w:rPr>
          <w:i/>
          <w:iCs/>
          <w:sz w:val="18"/>
          <w:szCs w:val="22"/>
          <w:lang w:val="en-US"/>
        </w:rPr>
        <w:t>Ten years after the Belgian Law of 24 June 2013 on arbitration</w:t>
      </w:r>
      <w:r w:rsidR="002A38DF" w:rsidRPr="00F84E4F">
        <w:rPr>
          <w:i/>
          <w:iCs/>
          <w:sz w:val="18"/>
          <w:szCs w:val="22"/>
          <w:lang w:val="en-US"/>
        </w:rPr>
        <w:t xml:space="preserve">, Landmark Cases and highlights </w:t>
      </w:r>
      <w:r w:rsidR="002A38DF">
        <w:rPr>
          <w:sz w:val="18"/>
          <w:szCs w:val="22"/>
          <w:lang w:val="en-US"/>
        </w:rPr>
        <w:t xml:space="preserve">(with L. Kengen), b-Arbitra, </w:t>
      </w:r>
      <w:r w:rsidR="005D7060">
        <w:rPr>
          <w:sz w:val="18"/>
          <w:szCs w:val="22"/>
          <w:lang w:val="en-US"/>
        </w:rPr>
        <w:t>2</w:t>
      </w:r>
      <w:r w:rsidR="002A38DF">
        <w:rPr>
          <w:sz w:val="18"/>
          <w:szCs w:val="22"/>
          <w:lang w:val="en-US"/>
        </w:rPr>
        <w:t>024</w:t>
      </w:r>
      <w:r w:rsidR="00973B86">
        <w:rPr>
          <w:sz w:val="18"/>
          <w:szCs w:val="22"/>
          <w:lang w:val="en-US"/>
        </w:rPr>
        <w:t>/2, p. 307</w:t>
      </w:r>
    </w:p>
    <w:p w14:paraId="1F113E1B" w14:textId="49405407" w:rsidR="00DF132F" w:rsidRPr="00610788" w:rsidRDefault="00DF132F" w:rsidP="00610788">
      <w:pPr>
        <w:jc w:val="both"/>
        <w:rPr>
          <w:sz w:val="22"/>
          <w:szCs w:val="28"/>
          <w:lang w:val="en-US"/>
        </w:rPr>
      </w:pPr>
    </w:p>
    <w:sectPr w:rsidR="00DF132F" w:rsidRPr="00610788" w:rsidSect="003D3059">
      <w:headerReference w:type="default" r:id="rId13"/>
      <w:footerReference w:type="even" r:id="rId14"/>
      <w:footerReference w:type="default" r:id="rId15"/>
      <w:footerReference w:type="first" r:id="rId16"/>
      <w:pgSz w:w="11900" w:h="16840"/>
      <w:pgMar w:top="1077"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1E4FD" w14:textId="77777777" w:rsidR="007400CC" w:rsidRDefault="007400CC" w:rsidP="003A520B">
      <w:pPr>
        <w:spacing w:after="0" w:line="240" w:lineRule="auto"/>
      </w:pPr>
      <w:r>
        <w:separator/>
      </w:r>
    </w:p>
  </w:endnote>
  <w:endnote w:type="continuationSeparator" w:id="0">
    <w:p w14:paraId="2638C10E" w14:textId="77777777" w:rsidR="007400CC" w:rsidRDefault="007400CC" w:rsidP="003A520B">
      <w:pPr>
        <w:spacing w:after="0" w:line="240" w:lineRule="auto"/>
      </w:pPr>
      <w:r>
        <w:continuationSeparator/>
      </w:r>
    </w:p>
  </w:endnote>
  <w:endnote w:type="continuationNotice" w:id="1">
    <w:p w14:paraId="0B9776D0" w14:textId="77777777" w:rsidR="007400CC" w:rsidRDefault="007400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17679728"/>
      <w:docPartObj>
        <w:docPartGallery w:val="Page Numbers (Bottom of Page)"/>
        <w:docPartUnique/>
      </w:docPartObj>
    </w:sdtPr>
    <w:sdtEndPr>
      <w:rPr>
        <w:rStyle w:val="PageNumber"/>
      </w:rPr>
    </w:sdtEndPr>
    <w:sdtContent>
      <w:p w14:paraId="61F00520" w14:textId="77777777" w:rsidR="007A24A1" w:rsidRDefault="007A24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017BEF" w14:textId="77777777" w:rsidR="00082854" w:rsidRDefault="00082854" w:rsidP="007A24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99690"/>
      <w:docPartObj>
        <w:docPartGallery w:val="Page Numbers (Bottom of Page)"/>
        <w:docPartUnique/>
      </w:docPartObj>
    </w:sdtPr>
    <w:sdtEndPr/>
    <w:sdtContent>
      <w:sdt>
        <w:sdtPr>
          <w:id w:val="-1769616900"/>
          <w:docPartObj>
            <w:docPartGallery w:val="Page Numbers (Top of Page)"/>
            <w:docPartUnique/>
          </w:docPartObj>
        </w:sdtPr>
        <w:sdtEndPr/>
        <w:sdtContent>
          <w:p w14:paraId="3023DA49" w14:textId="29356314" w:rsidR="0094587C" w:rsidRDefault="0094587C">
            <w:pPr>
              <w:pStyle w:val="Footer"/>
              <w:jc w:val="right"/>
            </w:pPr>
            <w:r>
              <w:t xml:space="preserve">Page </w:t>
            </w:r>
            <w:r>
              <w:rPr>
                <w:b w:val="0"/>
                <w:bCs/>
                <w:sz w:val="24"/>
              </w:rPr>
              <w:fldChar w:fldCharType="begin"/>
            </w:r>
            <w:r>
              <w:rPr>
                <w:bCs/>
              </w:rPr>
              <w:instrText xml:space="preserve"> PAGE </w:instrText>
            </w:r>
            <w:r>
              <w:rPr>
                <w:b w:val="0"/>
                <w:bCs/>
                <w:sz w:val="24"/>
              </w:rPr>
              <w:fldChar w:fldCharType="separate"/>
            </w:r>
            <w:r>
              <w:rPr>
                <w:bCs/>
                <w:noProof/>
              </w:rPr>
              <w:t>2</w:t>
            </w:r>
            <w:r>
              <w:rPr>
                <w:b w:val="0"/>
                <w:bCs/>
                <w:sz w:val="24"/>
              </w:rPr>
              <w:fldChar w:fldCharType="end"/>
            </w:r>
            <w:r>
              <w:t xml:space="preserve"> of </w:t>
            </w:r>
            <w:r>
              <w:rPr>
                <w:b w:val="0"/>
                <w:bCs/>
                <w:sz w:val="24"/>
              </w:rPr>
              <w:fldChar w:fldCharType="begin"/>
            </w:r>
            <w:r>
              <w:rPr>
                <w:bCs/>
              </w:rPr>
              <w:instrText xml:space="preserve"> NUMPAGES  </w:instrText>
            </w:r>
            <w:r>
              <w:rPr>
                <w:b w:val="0"/>
                <w:bCs/>
                <w:sz w:val="24"/>
              </w:rPr>
              <w:fldChar w:fldCharType="separate"/>
            </w:r>
            <w:r>
              <w:rPr>
                <w:bCs/>
                <w:noProof/>
              </w:rPr>
              <w:t>2</w:t>
            </w:r>
            <w:r>
              <w:rPr>
                <w:b w:val="0"/>
                <w:bCs/>
                <w:sz w:val="24"/>
              </w:rPr>
              <w:fldChar w:fldCharType="end"/>
            </w:r>
          </w:p>
        </w:sdtContent>
      </w:sdt>
    </w:sdtContent>
  </w:sdt>
  <w:p w14:paraId="53B17A57" w14:textId="77777777" w:rsidR="00082854" w:rsidRPr="007867E8" w:rsidRDefault="00082854" w:rsidP="00786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4E641" w14:textId="269A57C0" w:rsidR="003A520B" w:rsidRDefault="00A83F67" w:rsidP="00DB22BE">
    <w:pPr>
      <w:pStyle w:val="Footer"/>
      <w:rPr>
        <w:rStyle w:val="PageNumber"/>
      </w:rPr>
    </w:pPr>
    <w:r w:rsidRPr="00DB22BE">
      <w:rPr>
        <w:rStyle w:val="PageNumber"/>
      </w:rPr>
      <w:tab/>
    </w:r>
    <w:r w:rsidR="0038325F" w:rsidRPr="00DB22BE">
      <w:rPr>
        <w:rStyle w:val="PageNumber"/>
      </w:rPr>
      <w:tab/>
    </w:r>
  </w:p>
  <w:p w14:paraId="428234F6" w14:textId="77777777" w:rsidR="00DB22BE" w:rsidRPr="00DB22BE" w:rsidRDefault="00DB22BE" w:rsidP="00DB2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2CCF1" w14:textId="77777777" w:rsidR="007400CC" w:rsidRDefault="007400CC" w:rsidP="003A520B">
      <w:pPr>
        <w:spacing w:after="0" w:line="240" w:lineRule="auto"/>
      </w:pPr>
      <w:r>
        <w:separator/>
      </w:r>
    </w:p>
  </w:footnote>
  <w:footnote w:type="continuationSeparator" w:id="0">
    <w:p w14:paraId="091B6321" w14:textId="77777777" w:rsidR="007400CC" w:rsidRDefault="007400CC" w:rsidP="003A520B">
      <w:pPr>
        <w:spacing w:after="0" w:line="240" w:lineRule="auto"/>
      </w:pPr>
      <w:r>
        <w:continuationSeparator/>
      </w:r>
    </w:p>
  </w:footnote>
  <w:footnote w:type="continuationNotice" w:id="1">
    <w:p w14:paraId="48220F7C" w14:textId="77777777" w:rsidR="007400CC" w:rsidRDefault="007400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0D38E" w14:textId="13D05A39" w:rsidR="00082854" w:rsidRPr="00451EC4" w:rsidRDefault="00C9769F" w:rsidP="00451EC4">
    <w:pPr>
      <w:pStyle w:val="Header"/>
    </w:pPr>
    <w:r w:rsidRPr="00451EC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2CEF"/>
    <w:multiLevelType w:val="hybridMultilevel"/>
    <w:tmpl w:val="1ADCF30E"/>
    <w:lvl w:ilvl="0" w:tplc="0809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5623D43"/>
    <w:multiLevelType w:val="hybridMultilevel"/>
    <w:tmpl w:val="031E0CFA"/>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A992462"/>
    <w:multiLevelType w:val="multilevel"/>
    <w:tmpl w:val="0809001D"/>
    <w:styleLink w:val="Bulletandendash"/>
    <w:lvl w:ilvl="0">
      <w:start w:val="1"/>
      <w:numFmt w:val="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3" w15:restartNumberingAfterBreak="0">
    <w:nsid w:val="1F37499A"/>
    <w:multiLevelType w:val="hybridMultilevel"/>
    <w:tmpl w:val="B36EF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9657D1"/>
    <w:multiLevelType w:val="hybridMultilevel"/>
    <w:tmpl w:val="50D43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BD382E"/>
    <w:multiLevelType w:val="hybridMultilevel"/>
    <w:tmpl w:val="B678BE56"/>
    <w:lvl w:ilvl="0" w:tplc="D95AD700">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15:restartNumberingAfterBreak="0">
    <w:nsid w:val="456D2265"/>
    <w:multiLevelType w:val="hybridMultilevel"/>
    <w:tmpl w:val="24FE8DBE"/>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5C6E4315"/>
    <w:multiLevelType w:val="hybridMultilevel"/>
    <w:tmpl w:val="58504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3D3E4E"/>
    <w:multiLevelType w:val="hybridMultilevel"/>
    <w:tmpl w:val="DC184052"/>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DF65DCB"/>
    <w:multiLevelType w:val="hybridMultilevel"/>
    <w:tmpl w:val="FD5C3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8B26FA"/>
    <w:multiLevelType w:val="hybridMultilevel"/>
    <w:tmpl w:val="D4404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B955CB"/>
    <w:multiLevelType w:val="hybridMultilevel"/>
    <w:tmpl w:val="2506D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2A20A3"/>
    <w:multiLevelType w:val="hybridMultilevel"/>
    <w:tmpl w:val="8FD2E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7755202">
    <w:abstractNumId w:val="2"/>
  </w:num>
  <w:num w:numId="2" w16cid:durableId="782263935">
    <w:abstractNumId w:val="10"/>
  </w:num>
  <w:num w:numId="3" w16cid:durableId="189493537">
    <w:abstractNumId w:val="0"/>
  </w:num>
  <w:num w:numId="4" w16cid:durableId="337850932">
    <w:abstractNumId w:val="3"/>
  </w:num>
  <w:num w:numId="5" w16cid:durableId="1075516509">
    <w:abstractNumId w:val="5"/>
  </w:num>
  <w:num w:numId="6" w16cid:durableId="1874070755">
    <w:abstractNumId w:val="4"/>
  </w:num>
  <w:num w:numId="7" w16cid:durableId="443378750">
    <w:abstractNumId w:val="7"/>
  </w:num>
  <w:num w:numId="8" w16cid:durableId="437799740">
    <w:abstractNumId w:val="12"/>
  </w:num>
  <w:num w:numId="9" w16cid:durableId="575438555">
    <w:abstractNumId w:val="11"/>
  </w:num>
  <w:num w:numId="10" w16cid:durableId="1305234018">
    <w:abstractNumId w:val="9"/>
  </w:num>
  <w:num w:numId="11" w16cid:durableId="1535145718">
    <w:abstractNumId w:val="1"/>
  </w:num>
  <w:num w:numId="12" w16cid:durableId="582301257">
    <w:abstractNumId w:val="6"/>
  </w:num>
  <w:num w:numId="13" w16cid:durableId="13038545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ED3"/>
    <w:rsid w:val="0000039B"/>
    <w:rsid w:val="00006901"/>
    <w:rsid w:val="00007D56"/>
    <w:rsid w:val="000150BA"/>
    <w:rsid w:val="000151A3"/>
    <w:rsid w:val="00020F38"/>
    <w:rsid w:val="00024FF4"/>
    <w:rsid w:val="00027336"/>
    <w:rsid w:val="00032A59"/>
    <w:rsid w:val="00035B3F"/>
    <w:rsid w:val="00035C4A"/>
    <w:rsid w:val="00041512"/>
    <w:rsid w:val="00043EE4"/>
    <w:rsid w:val="00044B60"/>
    <w:rsid w:val="00054887"/>
    <w:rsid w:val="000574C1"/>
    <w:rsid w:val="00064ED3"/>
    <w:rsid w:val="00065A2F"/>
    <w:rsid w:val="00072C7E"/>
    <w:rsid w:val="00074B64"/>
    <w:rsid w:val="00075C27"/>
    <w:rsid w:val="00081048"/>
    <w:rsid w:val="00082854"/>
    <w:rsid w:val="000841CA"/>
    <w:rsid w:val="00087382"/>
    <w:rsid w:val="00096355"/>
    <w:rsid w:val="000A47D8"/>
    <w:rsid w:val="000C43F4"/>
    <w:rsid w:val="000D44F9"/>
    <w:rsid w:val="000E0DB2"/>
    <w:rsid w:val="000E17D2"/>
    <w:rsid w:val="000E3CF0"/>
    <w:rsid w:val="000F502C"/>
    <w:rsid w:val="000F52EF"/>
    <w:rsid w:val="00103710"/>
    <w:rsid w:val="00114F8D"/>
    <w:rsid w:val="0011740B"/>
    <w:rsid w:val="00117A0C"/>
    <w:rsid w:val="00120BA7"/>
    <w:rsid w:val="001406A6"/>
    <w:rsid w:val="0014182B"/>
    <w:rsid w:val="001623C9"/>
    <w:rsid w:val="001654F0"/>
    <w:rsid w:val="00171D63"/>
    <w:rsid w:val="001771A4"/>
    <w:rsid w:val="00180E3C"/>
    <w:rsid w:val="00183F4B"/>
    <w:rsid w:val="00185A83"/>
    <w:rsid w:val="001862FE"/>
    <w:rsid w:val="00191AC3"/>
    <w:rsid w:val="001A4710"/>
    <w:rsid w:val="001B0726"/>
    <w:rsid w:val="001B3946"/>
    <w:rsid w:val="001B4211"/>
    <w:rsid w:val="001B66BB"/>
    <w:rsid w:val="001D1938"/>
    <w:rsid w:val="001E00B9"/>
    <w:rsid w:val="001E6846"/>
    <w:rsid w:val="001E7984"/>
    <w:rsid w:val="001F04D8"/>
    <w:rsid w:val="0020298C"/>
    <w:rsid w:val="00202B35"/>
    <w:rsid w:val="00204B95"/>
    <w:rsid w:val="0022708E"/>
    <w:rsid w:val="00243D51"/>
    <w:rsid w:val="002454F5"/>
    <w:rsid w:val="00245CE6"/>
    <w:rsid w:val="0026552D"/>
    <w:rsid w:val="00275977"/>
    <w:rsid w:val="00281580"/>
    <w:rsid w:val="0028185E"/>
    <w:rsid w:val="00287433"/>
    <w:rsid w:val="0029259F"/>
    <w:rsid w:val="00294AE1"/>
    <w:rsid w:val="00297A0F"/>
    <w:rsid w:val="002A38DF"/>
    <w:rsid w:val="002A3BF2"/>
    <w:rsid w:val="002A3ECD"/>
    <w:rsid w:val="002A3FB6"/>
    <w:rsid w:val="002A47A5"/>
    <w:rsid w:val="002A5FC0"/>
    <w:rsid w:val="002A78E4"/>
    <w:rsid w:val="002B2354"/>
    <w:rsid w:val="002B3516"/>
    <w:rsid w:val="002C215B"/>
    <w:rsid w:val="002C586E"/>
    <w:rsid w:val="002D15BA"/>
    <w:rsid w:val="002D2C4D"/>
    <w:rsid w:val="002E0C5A"/>
    <w:rsid w:val="002E1682"/>
    <w:rsid w:val="002E3323"/>
    <w:rsid w:val="002E4DA3"/>
    <w:rsid w:val="002E4DE6"/>
    <w:rsid w:val="002F1663"/>
    <w:rsid w:val="002F1BD5"/>
    <w:rsid w:val="002F2695"/>
    <w:rsid w:val="002F42AA"/>
    <w:rsid w:val="002F769B"/>
    <w:rsid w:val="00305DE5"/>
    <w:rsid w:val="00306758"/>
    <w:rsid w:val="00312E17"/>
    <w:rsid w:val="00313DD2"/>
    <w:rsid w:val="00317969"/>
    <w:rsid w:val="00330353"/>
    <w:rsid w:val="00332CD1"/>
    <w:rsid w:val="0033491D"/>
    <w:rsid w:val="0033517B"/>
    <w:rsid w:val="0034487F"/>
    <w:rsid w:val="0034554E"/>
    <w:rsid w:val="00353FCD"/>
    <w:rsid w:val="00356481"/>
    <w:rsid w:val="00357734"/>
    <w:rsid w:val="00377F28"/>
    <w:rsid w:val="00381466"/>
    <w:rsid w:val="0038325F"/>
    <w:rsid w:val="003832CF"/>
    <w:rsid w:val="00390411"/>
    <w:rsid w:val="00394447"/>
    <w:rsid w:val="003950B2"/>
    <w:rsid w:val="003A1F3E"/>
    <w:rsid w:val="003A520B"/>
    <w:rsid w:val="003B08CF"/>
    <w:rsid w:val="003B4704"/>
    <w:rsid w:val="003D3059"/>
    <w:rsid w:val="003D706F"/>
    <w:rsid w:val="00402585"/>
    <w:rsid w:val="00402C3C"/>
    <w:rsid w:val="00402CF8"/>
    <w:rsid w:val="00404381"/>
    <w:rsid w:val="004047F3"/>
    <w:rsid w:val="00406E86"/>
    <w:rsid w:val="004141FD"/>
    <w:rsid w:val="004178F6"/>
    <w:rsid w:val="00422DFE"/>
    <w:rsid w:val="00425002"/>
    <w:rsid w:val="004275F1"/>
    <w:rsid w:val="00427622"/>
    <w:rsid w:val="00430154"/>
    <w:rsid w:val="00431B0F"/>
    <w:rsid w:val="004411C1"/>
    <w:rsid w:val="004465EA"/>
    <w:rsid w:val="004500A1"/>
    <w:rsid w:val="00451EC4"/>
    <w:rsid w:val="00457F69"/>
    <w:rsid w:val="00461DC3"/>
    <w:rsid w:val="0046259C"/>
    <w:rsid w:val="004639D8"/>
    <w:rsid w:val="0047697F"/>
    <w:rsid w:val="00486DA9"/>
    <w:rsid w:val="004962EE"/>
    <w:rsid w:val="004A2007"/>
    <w:rsid w:val="004A6400"/>
    <w:rsid w:val="004A7BEC"/>
    <w:rsid w:val="004B19BF"/>
    <w:rsid w:val="004C0045"/>
    <w:rsid w:val="004C0B2A"/>
    <w:rsid w:val="004C78E3"/>
    <w:rsid w:val="004D0592"/>
    <w:rsid w:val="004D1B66"/>
    <w:rsid w:val="004D1FC0"/>
    <w:rsid w:val="004D2AA1"/>
    <w:rsid w:val="004E23BD"/>
    <w:rsid w:val="004E2996"/>
    <w:rsid w:val="004E4EFF"/>
    <w:rsid w:val="004F023A"/>
    <w:rsid w:val="004F73F5"/>
    <w:rsid w:val="005050B8"/>
    <w:rsid w:val="00505168"/>
    <w:rsid w:val="00507C28"/>
    <w:rsid w:val="0051362E"/>
    <w:rsid w:val="00515FC2"/>
    <w:rsid w:val="00516A23"/>
    <w:rsid w:val="00520808"/>
    <w:rsid w:val="00521AA9"/>
    <w:rsid w:val="0053113F"/>
    <w:rsid w:val="00540D80"/>
    <w:rsid w:val="0054156A"/>
    <w:rsid w:val="00545F13"/>
    <w:rsid w:val="00562B9A"/>
    <w:rsid w:val="00562FCA"/>
    <w:rsid w:val="00563372"/>
    <w:rsid w:val="00565F64"/>
    <w:rsid w:val="005670AA"/>
    <w:rsid w:val="00580642"/>
    <w:rsid w:val="00593C47"/>
    <w:rsid w:val="005973FA"/>
    <w:rsid w:val="005A03B5"/>
    <w:rsid w:val="005A08A7"/>
    <w:rsid w:val="005A3409"/>
    <w:rsid w:val="005B008C"/>
    <w:rsid w:val="005B100E"/>
    <w:rsid w:val="005B1E57"/>
    <w:rsid w:val="005B2653"/>
    <w:rsid w:val="005C0E83"/>
    <w:rsid w:val="005C2648"/>
    <w:rsid w:val="005C4255"/>
    <w:rsid w:val="005C6786"/>
    <w:rsid w:val="005D4B90"/>
    <w:rsid w:val="005D5507"/>
    <w:rsid w:val="005D6754"/>
    <w:rsid w:val="005D7060"/>
    <w:rsid w:val="005D774D"/>
    <w:rsid w:val="005E6B2D"/>
    <w:rsid w:val="005E752A"/>
    <w:rsid w:val="005F0133"/>
    <w:rsid w:val="00610788"/>
    <w:rsid w:val="006118D6"/>
    <w:rsid w:val="006161BD"/>
    <w:rsid w:val="0064107B"/>
    <w:rsid w:val="00646256"/>
    <w:rsid w:val="00646EC6"/>
    <w:rsid w:val="00650904"/>
    <w:rsid w:val="00655B6C"/>
    <w:rsid w:val="0065725F"/>
    <w:rsid w:val="0066046C"/>
    <w:rsid w:val="006604CE"/>
    <w:rsid w:val="00666044"/>
    <w:rsid w:val="00681B84"/>
    <w:rsid w:val="006869DA"/>
    <w:rsid w:val="00691598"/>
    <w:rsid w:val="00697B84"/>
    <w:rsid w:val="006B312F"/>
    <w:rsid w:val="006B711C"/>
    <w:rsid w:val="006B79EF"/>
    <w:rsid w:val="006C52CA"/>
    <w:rsid w:val="006C554F"/>
    <w:rsid w:val="006D1BB0"/>
    <w:rsid w:val="006E2FD2"/>
    <w:rsid w:val="006E32E9"/>
    <w:rsid w:val="006E537D"/>
    <w:rsid w:val="006F2AD5"/>
    <w:rsid w:val="006F2E2F"/>
    <w:rsid w:val="006F790D"/>
    <w:rsid w:val="0070123F"/>
    <w:rsid w:val="00704F6B"/>
    <w:rsid w:val="00710674"/>
    <w:rsid w:val="007272DE"/>
    <w:rsid w:val="0073640F"/>
    <w:rsid w:val="007400CC"/>
    <w:rsid w:val="007410F3"/>
    <w:rsid w:val="00743C09"/>
    <w:rsid w:val="00745666"/>
    <w:rsid w:val="00752B34"/>
    <w:rsid w:val="00755EF2"/>
    <w:rsid w:val="00760780"/>
    <w:rsid w:val="0076127E"/>
    <w:rsid w:val="00762136"/>
    <w:rsid w:val="0077363F"/>
    <w:rsid w:val="007738F7"/>
    <w:rsid w:val="0077706A"/>
    <w:rsid w:val="00780319"/>
    <w:rsid w:val="00784C8E"/>
    <w:rsid w:val="007867E8"/>
    <w:rsid w:val="007962E5"/>
    <w:rsid w:val="007A24A1"/>
    <w:rsid w:val="007A4898"/>
    <w:rsid w:val="007A536A"/>
    <w:rsid w:val="007B668D"/>
    <w:rsid w:val="007B6A0B"/>
    <w:rsid w:val="007C6AB9"/>
    <w:rsid w:val="007D033E"/>
    <w:rsid w:val="007D0CA5"/>
    <w:rsid w:val="007D7FAD"/>
    <w:rsid w:val="007E00EC"/>
    <w:rsid w:val="007E0F7A"/>
    <w:rsid w:val="007E4F7C"/>
    <w:rsid w:val="007E596C"/>
    <w:rsid w:val="007F2545"/>
    <w:rsid w:val="00801721"/>
    <w:rsid w:val="00806738"/>
    <w:rsid w:val="00814A0D"/>
    <w:rsid w:val="00815C6D"/>
    <w:rsid w:val="00826CEB"/>
    <w:rsid w:val="00827E7E"/>
    <w:rsid w:val="0083752F"/>
    <w:rsid w:val="008400E0"/>
    <w:rsid w:val="00841787"/>
    <w:rsid w:val="00842AB4"/>
    <w:rsid w:val="00846497"/>
    <w:rsid w:val="0085051B"/>
    <w:rsid w:val="0085284C"/>
    <w:rsid w:val="00853A98"/>
    <w:rsid w:val="00854C12"/>
    <w:rsid w:val="00855994"/>
    <w:rsid w:val="00857DA1"/>
    <w:rsid w:val="00861CC7"/>
    <w:rsid w:val="00863BA8"/>
    <w:rsid w:val="008716C8"/>
    <w:rsid w:val="00872FDD"/>
    <w:rsid w:val="008738B2"/>
    <w:rsid w:val="008773BE"/>
    <w:rsid w:val="008813F5"/>
    <w:rsid w:val="00887747"/>
    <w:rsid w:val="00896C4C"/>
    <w:rsid w:val="00897E07"/>
    <w:rsid w:val="008A15C4"/>
    <w:rsid w:val="008A73A4"/>
    <w:rsid w:val="008B00E9"/>
    <w:rsid w:val="008B0254"/>
    <w:rsid w:val="008B0F34"/>
    <w:rsid w:val="008B1220"/>
    <w:rsid w:val="008B1D93"/>
    <w:rsid w:val="008B3DEC"/>
    <w:rsid w:val="008B7AA5"/>
    <w:rsid w:val="008C14DD"/>
    <w:rsid w:val="008C230D"/>
    <w:rsid w:val="008C24B8"/>
    <w:rsid w:val="008C290B"/>
    <w:rsid w:val="008C2B29"/>
    <w:rsid w:val="008C3DF4"/>
    <w:rsid w:val="008E0D71"/>
    <w:rsid w:val="008E45E2"/>
    <w:rsid w:val="008E6DD4"/>
    <w:rsid w:val="008F040D"/>
    <w:rsid w:val="008F0A9E"/>
    <w:rsid w:val="008F100C"/>
    <w:rsid w:val="008F100F"/>
    <w:rsid w:val="008F2988"/>
    <w:rsid w:val="008F4F5B"/>
    <w:rsid w:val="008F5D02"/>
    <w:rsid w:val="009013AD"/>
    <w:rsid w:val="009034FD"/>
    <w:rsid w:val="00905666"/>
    <w:rsid w:val="0090696F"/>
    <w:rsid w:val="00911447"/>
    <w:rsid w:val="00912BEC"/>
    <w:rsid w:val="00916E72"/>
    <w:rsid w:val="00917BCC"/>
    <w:rsid w:val="0092062D"/>
    <w:rsid w:val="00925423"/>
    <w:rsid w:val="00932677"/>
    <w:rsid w:val="00934428"/>
    <w:rsid w:val="0094157B"/>
    <w:rsid w:val="0094587C"/>
    <w:rsid w:val="00947D0C"/>
    <w:rsid w:val="009539B7"/>
    <w:rsid w:val="009558BF"/>
    <w:rsid w:val="00956D59"/>
    <w:rsid w:val="009602B6"/>
    <w:rsid w:val="00960B5E"/>
    <w:rsid w:val="00966ACB"/>
    <w:rsid w:val="00972FA6"/>
    <w:rsid w:val="00973531"/>
    <w:rsid w:val="00973B86"/>
    <w:rsid w:val="009745D0"/>
    <w:rsid w:val="00974D95"/>
    <w:rsid w:val="00981A20"/>
    <w:rsid w:val="00981ADF"/>
    <w:rsid w:val="00985578"/>
    <w:rsid w:val="009901B9"/>
    <w:rsid w:val="0099688D"/>
    <w:rsid w:val="009A13E4"/>
    <w:rsid w:val="009A305B"/>
    <w:rsid w:val="009A32F6"/>
    <w:rsid w:val="009A5E68"/>
    <w:rsid w:val="009B0813"/>
    <w:rsid w:val="009B1026"/>
    <w:rsid w:val="009B6FC8"/>
    <w:rsid w:val="009C3F79"/>
    <w:rsid w:val="009C761B"/>
    <w:rsid w:val="009D3DBF"/>
    <w:rsid w:val="009D6808"/>
    <w:rsid w:val="009E6463"/>
    <w:rsid w:val="009F2F7B"/>
    <w:rsid w:val="009F4AF0"/>
    <w:rsid w:val="009F51C9"/>
    <w:rsid w:val="009F7434"/>
    <w:rsid w:val="00A00401"/>
    <w:rsid w:val="00A00A21"/>
    <w:rsid w:val="00A02C5D"/>
    <w:rsid w:val="00A06161"/>
    <w:rsid w:val="00A13429"/>
    <w:rsid w:val="00A13BD4"/>
    <w:rsid w:val="00A25911"/>
    <w:rsid w:val="00A31F6A"/>
    <w:rsid w:val="00A37E29"/>
    <w:rsid w:val="00A45275"/>
    <w:rsid w:val="00A53A7A"/>
    <w:rsid w:val="00A547F5"/>
    <w:rsid w:val="00A573BA"/>
    <w:rsid w:val="00A61C93"/>
    <w:rsid w:val="00A6296F"/>
    <w:rsid w:val="00A630E6"/>
    <w:rsid w:val="00A66302"/>
    <w:rsid w:val="00A7035B"/>
    <w:rsid w:val="00A70BAE"/>
    <w:rsid w:val="00A80FCA"/>
    <w:rsid w:val="00A83F67"/>
    <w:rsid w:val="00A87A14"/>
    <w:rsid w:val="00A903CC"/>
    <w:rsid w:val="00A9236C"/>
    <w:rsid w:val="00A92460"/>
    <w:rsid w:val="00A94F8D"/>
    <w:rsid w:val="00AB2E63"/>
    <w:rsid w:val="00AB670E"/>
    <w:rsid w:val="00AC0D25"/>
    <w:rsid w:val="00AC72AB"/>
    <w:rsid w:val="00AE24E9"/>
    <w:rsid w:val="00AE3163"/>
    <w:rsid w:val="00AF1367"/>
    <w:rsid w:val="00AF224F"/>
    <w:rsid w:val="00AF26CE"/>
    <w:rsid w:val="00AF2FA8"/>
    <w:rsid w:val="00AF3CD7"/>
    <w:rsid w:val="00AF4748"/>
    <w:rsid w:val="00B0659D"/>
    <w:rsid w:val="00B20671"/>
    <w:rsid w:val="00B216D1"/>
    <w:rsid w:val="00B24763"/>
    <w:rsid w:val="00B506C7"/>
    <w:rsid w:val="00B51EA0"/>
    <w:rsid w:val="00B537CC"/>
    <w:rsid w:val="00B549F1"/>
    <w:rsid w:val="00B60CFA"/>
    <w:rsid w:val="00B61B95"/>
    <w:rsid w:val="00B65608"/>
    <w:rsid w:val="00B831AB"/>
    <w:rsid w:val="00B908EE"/>
    <w:rsid w:val="00B918D1"/>
    <w:rsid w:val="00B922E1"/>
    <w:rsid w:val="00B9714C"/>
    <w:rsid w:val="00BA1A11"/>
    <w:rsid w:val="00BA30C9"/>
    <w:rsid w:val="00BA3119"/>
    <w:rsid w:val="00BB3A34"/>
    <w:rsid w:val="00BC0422"/>
    <w:rsid w:val="00BC1A3D"/>
    <w:rsid w:val="00BC3FD4"/>
    <w:rsid w:val="00BC4EA2"/>
    <w:rsid w:val="00BC5240"/>
    <w:rsid w:val="00BD4F2E"/>
    <w:rsid w:val="00BD5CEC"/>
    <w:rsid w:val="00BE046C"/>
    <w:rsid w:val="00BF24C7"/>
    <w:rsid w:val="00C0639F"/>
    <w:rsid w:val="00C11499"/>
    <w:rsid w:val="00C17C37"/>
    <w:rsid w:val="00C22CEF"/>
    <w:rsid w:val="00C230D1"/>
    <w:rsid w:val="00C23B7B"/>
    <w:rsid w:val="00C249CF"/>
    <w:rsid w:val="00C24B15"/>
    <w:rsid w:val="00C3123C"/>
    <w:rsid w:val="00C415AA"/>
    <w:rsid w:val="00C41B53"/>
    <w:rsid w:val="00C46D1E"/>
    <w:rsid w:val="00C5376C"/>
    <w:rsid w:val="00C5674F"/>
    <w:rsid w:val="00C616C8"/>
    <w:rsid w:val="00C61AD4"/>
    <w:rsid w:val="00C64AC7"/>
    <w:rsid w:val="00C9502A"/>
    <w:rsid w:val="00C95D33"/>
    <w:rsid w:val="00C9769F"/>
    <w:rsid w:val="00CA21F6"/>
    <w:rsid w:val="00CA3801"/>
    <w:rsid w:val="00CB0D2A"/>
    <w:rsid w:val="00CB3F63"/>
    <w:rsid w:val="00CB4F06"/>
    <w:rsid w:val="00CB6574"/>
    <w:rsid w:val="00CC05DB"/>
    <w:rsid w:val="00CC601C"/>
    <w:rsid w:val="00CC60A6"/>
    <w:rsid w:val="00CC7EC4"/>
    <w:rsid w:val="00CD082D"/>
    <w:rsid w:val="00CE16BA"/>
    <w:rsid w:val="00CE4C13"/>
    <w:rsid w:val="00CF716E"/>
    <w:rsid w:val="00D014F7"/>
    <w:rsid w:val="00D02950"/>
    <w:rsid w:val="00D0641D"/>
    <w:rsid w:val="00D07D32"/>
    <w:rsid w:val="00D10FEF"/>
    <w:rsid w:val="00D15E49"/>
    <w:rsid w:val="00D166C7"/>
    <w:rsid w:val="00D17AB8"/>
    <w:rsid w:val="00D2290A"/>
    <w:rsid w:val="00D23153"/>
    <w:rsid w:val="00D25D9C"/>
    <w:rsid w:val="00D303CD"/>
    <w:rsid w:val="00D3210E"/>
    <w:rsid w:val="00D41C54"/>
    <w:rsid w:val="00D41C78"/>
    <w:rsid w:val="00D44D13"/>
    <w:rsid w:val="00D44F34"/>
    <w:rsid w:val="00D510FE"/>
    <w:rsid w:val="00D53056"/>
    <w:rsid w:val="00D5431D"/>
    <w:rsid w:val="00D54635"/>
    <w:rsid w:val="00D56069"/>
    <w:rsid w:val="00D57BC6"/>
    <w:rsid w:val="00D6095E"/>
    <w:rsid w:val="00D60ECF"/>
    <w:rsid w:val="00D6206E"/>
    <w:rsid w:val="00D67202"/>
    <w:rsid w:val="00D80095"/>
    <w:rsid w:val="00D8125B"/>
    <w:rsid w:val="00D82C71"/>
    <w:rsid w:val="00D90D08"/>
    <w:rsid w:val="00D95DF3"/>
    <w:rsid w:val="00D965AD"/>
    <w:rsid w:val="00D9730B"/>
    <w:rsid w:val="00DB0DF6"/>
    <w:rsid w:val="00DB22BE"/>
    <w:rsid w:val="00DC19F8"/>
    <w:rsid w:val="00DC49A8"/>
    <w:rsid w:val="00DD6733"/>
    <w:rsid w:val="00DD6C92"/>
    <w:rsid w:val="00DD6D09"/>
    <w:rsid w:val="00DD7185"/>
    <w:rsid w:val="00DD751C"/>
    <w:rsid w:val="00DE0FE6"/>
    <w:rsid w:val="00DE45C9"/>
    <w:rsid w:val="00DE5A3E"/>
    <w:rsid w:val="00DF132F"/>
    <w:rsid w:val="00DF23D8"/>
    <w:rsid w:val="00DF2AB8"/>
    <w:rsid w:val="00DF414F"/>
    <w:rsid w:val="00DF64F4"/>
    <w:rsid w:val="00E07AD8"/>
    <w:rsid w:val="00E114BA"/>
    <w:rsid w:val="00E11BFA"/>
    <w:rsid w:val="00E169E5"/>
    <w:rsid w:val="00E16C8A"/>
    <w:rsid w:val="00E17368"/>
    <w:rsid w:val="00E25C3B"/>
    <w:rsid w:val="00E333C9"/>
    <w:rsid w:val="00E376AF"/>
    <w:rsid w:val="00E40045"/>
    <w:rsid w:val="00E406E3"/>
    <w:rsid w:val="00E4109D"/>
    <w:rsid w:val="00E4263C"/>
    <w:rsid w:val="00E45AB1"/>
    <w:rsid w:val="00E463B7"/>
    <w:rsid w:val="00E46415"/>
    <w:rsid w:val="00E46ED4"/>
    <w:rsid w:val="00E55643"/>
    <w:rsid w:val="00E56A4A"/>
    <w:rsid w:val="00E656AC"/>
    <w:rsid w:val="00E7224E"/>
    <w:rsid w:val="00E8003D"/>
    <w:rsid w:val="00E84C12"/>
    <w:rsid w:val="00E904F8"/>
    <w:rsid w:val="00EA1F63"/>
    <w:rsid w:val="00EA4E8E"/>
    <w:rsid w:val="00EB6069"/>
    <w:rsid w:val="00EB687F"/>
    <w:rsid w:val="00EC04C1"/>
    <w:rsid w:val="00ED6CDA"/>
    <w:rsid w:val="00EE172A"/>
    <w:rsid w:val="00EE4B85"/>
    <w:rsid w:val="00EE6261"/>
    <w:rsid w:val="00EE632B"/>
    <w:rsid w:val="00F00F04"/>
    <w:rsid w:val="00F04B57"/>
    <w:rsid w:val="00F07A23"/>
    <w:rsid w:val="00F11182"/>
    <w:rsid w:val="00F152C8"/>
    <w:rsid w:val="00F15B34"/>
    <w:rsid w:val="00F179AB"/>
    <w:rsid w:val="00F20405"/>
    <w:rsid w:val="00F222DE"/>
    <w:rsid w:val="00F22C02"/>
    <w:rsid w:val="00F279D9"/>
    <w:rsid w:val="00F32A48"/>
    <w:rsid w:val="00F36593"/>
    <w:rsid w:val="00F36914"/>
    <w:rsid w:val="00F40D32"/>
    <w:rsid w:val="00F50244"/>
    <w:rsid w:val="00F50751"/>
    <w:rsid w:val="00F5214F"/>
    <w:rsid w:val="00F57AE4"/>
    <w:rsid w:val="00F6144D"/>
    <w:rsid w:val="00F61EBC"/>
    <w:rsid w:val="00F71316"/>
    <w:rsid w:val="00F74B85"/>
    <w:rsid w:val="00F81B2E"/>
    <w:rsid w:val="00F82A38"/>
    <w:rsid w:val="00F830E5"/>
    <w:rsid w:val="00F84C05"/>
    <w:rsid w:val="00F84E4F"/>
    <w:rsid w:val="00F91B16"/>
    <w:rsid w:val="00F93277"/>
    <w:rsid w:val="00F93EE5"/>
    <w:rsid w:val="00FA340D"/>
    <w:rsid w:val="00FA398D"/>
    <w:rsid w:val="00FA4892"/>
    <w:rsid w:val="00FA48E2"/>
    <w:rsid w:val="00FA4B89"/>
    <w:rsid w:val="00FB3B05"/>
    <w:rsid w:val="00FC6929"/>
    <w:rsid w:val="00FC7620"/>
    <w:rsid w:val="00FD445F"/>
    <w:rsid w:val="00FD58B3"/>
    <w:rsid w:val="00FE2A52"/>
    <w:rsid w:val="00FE4F8D"/>
    <w:rsid w:val="00FE5002"/>
    <w:rsid w:val="00FE5136"/>
    <w:rsid w:val="00FF176A"/>
    <w:rsid w:val="00FF4B1B"/>
    <w:rsid w:val="00FF7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491AA2"/>
  <w15:chartTrackingRefBased/>
  <w15:docId w15:val="{83C8A0ED-3771-459C-BB14-7A1108180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BC6"/>
    <w:pPr>
      <w:spacing w:after="280" w:line="276" w:lineRule="auto"/>
    </w:pPr>
    <w:rPr>
      <w:sz w:val="20"/>
    </w:rPr>
  </w:style>
  <w:style w:type="paragraph" w:styleId="Heading1">
    <w:name w:val="heading 1"/>
    <w:basedOn w:val="Normal"/>
    <w:next w:val="Normal"/>
    <w:link w:val="Heading1Char"/>
    <w:uiPriority w:val="9"/>
    <w:qFormat/>
    <w:rsid w:val="009F4AF0"/>
    <w:pPr>
      <w:pBdr>
        <w:bottom w:val="single" w:sz="4" w:space="5" w:color="6A7B89"/>
      </w:pBdr>
      <w:spacing w:before="400"/>
      <w:outlineLvl w:val="0"/>
    </w:pPr>
    <w:rPr>
      <w:sz w:val="36"/>
      <w:szCs w:val="36"/>
    </w:rPr>
  </w:style>
  <w:style w:type="paragraph" w:styleId="Heading2">
    <w:name w:val="heading 2"/>
    <w:basedOn w:val="Normal"/>
    <w:next w:val="Normal"/>
    <w:link w:val="Heading2Char"/>
    <w:uiPriority w:val="9"/>
    <w:unhideWhenUsed/>
    <w:qFormat/>
    <w:rsid w:val="001771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andendash">
    <w:name w:val="Bullet and en dash_"/>
    <w:uiPriority w:val="99"/>
    <w:rsid w:val="007E596C"/>
    <w:pPr>
      <w:numPr>
        <w:numId w:val="1"/>
      </w:numPr>
    </w:pPr>
  </w:style>
  <w:style w:type="paragraph" w:styleId="Header">
    <w:name w:val="header"/>
    <w:basedOn w:val="Normal"/>
    <w:link w:val="HeaderChar"/>
    <w:uiPriority w:val="99"/>
    <w:unhideWhenUsed/>
    <w:rsid w:val="004A7BEC"/>
    <w:pPr>
      <w:tabs>
        <w:tab w:val="right" w:pos="9072"/>
      </w:tabs>
      <w:spacing w:before="600" w:after="1280" w:line="240" w:lineRule="auto"/>
    </w:pPr>
    <w:rPr>
      <w:sz w:val="36"/>
    </w:rPr>
  </w:style>
  <w:style w:type="character" w:customStyle="1" w:styleId="HeaderChar">
    <w:name w:val="Header Char"/>
    <w:basedOn w:val="DefaultParagraphFont"/>
    <w:link w:val="Header"/>
    <w:uiPriority w:val="99"/>
    <w:rsid w:val="004A7BEC"/>
    <w:rPr>
      <w:sz w:val="36"/>
    </w:rPr>
  </w:style>
  <w:style w:type="paragraph" w:styleId="Footer">
    <w:name w:val="footer"/>
    <w:basedOn w:val="Normal"/>
    <w:link w:val="FooterChar"/>
    <w:uiPriority w:val="99"/>
    <w:unhideWhenUsed/>
    <w:rsid w:val="00AC0D25"/>
    <w:pPr>
      <w:tabs>
        <w:tab w:val="right" w:pos="9072"/>
      </w:tabs>
      <w:spacing w:after="0" w:line="240" w:lineRule="auto"/>
    </w:pPr>
    <w:rPr>
      <w:b/>
      <w:color w:val="6A7B89"/>
    </w:rPr>
  </w:style>
  <w:style w:type="character" w:customStyle="1" w:styleId="FooterChar">
    <w:name w:val="Footer Char"/>
    <w:basedOn w:val="DefaultParagraphFont"/>
    <w:link w:val="Footer"/>
    <w:uiPriority w:val="99"/>
    <w:rsid w:val="00AC0D25"/>
    <w:rPr>
      <w:b/>
      <w:color w:val="6A7B89"/>
      <w:sz w:val="20"/>
    </w:rPr>
  </w:style>
  <w:style w:type="character" w:styleId="PageNumber">
    <w:name w:val="page number"/>
    <w:basedOn w:val="DefaultParagraphFont"/>
    <w:uiPriority w:val="99"/>
    <w:semiHidden/>
    <w:unhideWhenUsed/>
    <w:rsid w:val="00857DA1"/>
  </w:style>
  <w:style w:type="table" w:styleId="TableGrid">
    <w:name w:val="Table Grid"/>
    <w:basedOn w:val="TableNormal"/>
    <w:uiPriority w:val="39"/>
    <w:rsid w:val="00840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oldingtable">
    <w:name w:val="Holding table_"/>
    <w:basedOn w:val="TableNormal"/>
    <w:uiPriority w:val="99"/>
    <w:rsid w:val="00294AE1"/>
    <w:tblPr/>
    <w:tcPr>
      <w:tcMar>
        <w:left w:w="0" w:type="dxa"/>
        <w:right w:w="0" w:type="dxa"/>
      </w:tcMar>
    </w:tcPr>
  </w:style>
  <w:style w:type="paragraph" w:customStyle="1" w:styleId="Name">
    <w:name w:val="Name_"/>
    <w:basedOn w:val="Normal"/>
    <w:qFormat/>
    <w:rsid w:val="005C6786"/>
    <w:pPr>
      <w:spacing w:after="180"/>
    </w:pPr>
    <w:rPr>
      <w:sz w:val="40"/>
      <w:szCs w:val="40"/>
    </w:rPr>
  </w:style>
  <w:style w:type="paragraph" w:customStyle="1" w:styleId="Qualifications">
    <w:name w:val="Qualifications_"/>
    <w:basedOn w:val="Normal"/>
    <w:qFormat/>
    <w:rsid w:val="00F5214F"/>
    <w:pPr>
      <w:spacing w:after="0"/>
    </w:pPr>
    <w:rPr>
      <w:sz w:val="21"/>
      <w:szCs w:val="21"/>
    </w:rPr>
  </w:style>
  <w:style w:type="paragraph" w:customStyle="1" w:styleId="Introductorytext">
    <w:name w:val="Introductory text_"/>
    <w:basedOn w:val="Normal"/>
    <w:qFormat/>
    <w:rsid w:val="00425002"/>
    <w:rPr>
      <w:b/>
      <w:bCs/>
    </w:rPr>
  </w:style>
  <w:style w:type="paragraph" w:customStyle="1" w:styleId="NormalNospacing">
    <w:name w:val="Normal: No spacing_"/>
    <w:basedOn w:val="Normal"/>
    <w:qFormat/>
    <w:rsid w:val="00E656AC"/>
    <w:pPr>
      <w:spacing w:after="0"/>
    </w:pPr>
  </w:style>
  <w:style w:type="character" w:customStyle="1" w:styleId="Heading1Char">
    <w:name w:val="Heading 1 Char"/>
    <w:basedOn w:val="DefaultParagraphFont"/>
    <w:link w:val="Heading1"/>
    <w:uiPriority w:val="9"/>
    <w:rsid w:val="009F4AF0"/>
    <w:rPr>
      <w:sz w:val="36"/>
      <w:szCs w:val="36"/>
    </w:rPr>
  </w:style>
  <w:style w:type="paragraph" w:customStyle="1" w:styleId="Headerfirstpage">
    <w:name w:val="Header first page_"/>
    <w:basedOn w:val="Header"/>
    <w:qFormat/>
    <w:rsid w:val="007B6A0B"/>
    <w:pPr>
      <w:spacing w:before="0" w:after="0"/>
    </w:pPr>
  </w:style>
  <w:style w:type="paragraph" w:customStyle="1" w:styleId="Quote">
    <w:name w:val="Quote_"/>
    <w:basedOn w:val="Normal"/>
    <w:qFormat/>
    <w:rsid w:val="0029259F"/>
    <w:rPr>
      <w:i/>
      <w:iCs/>
    </w:rPr>
  </w:style>
  <w:style w:type="paragraph" w:customStyle="1" w:styleId="PulloutQuote">
    <w:name w:val="Pull out: Quote_"/>
    <w:basedOn w:val="Normal"/>
    <w:next w:val="PulloutAuthor"/>
    <w:qFormat/>
    <w:rsid w:val="00394447"/>
    <w:pPr>
      <w:spacing w:after="160"/>
    </w:pPr>
    <w:rPr>
      <w:i/>
      <w:iCs/>
      <w:sz w:val="36"/>
      <w:szCs w:val="36"/>
    </w:rPr>
  </w:style>
  <w:style w:type="paragraph" w:customStyle="1" w:styleId="PulloutAuthor">
    <w:name w:val="Pull out: Author_"/>
    <w:basedOn w:val="Normal"/>
    <w:next w:val="Normal"/>
    <w:qFormat/>
    <w:rsid w:val="002E3323"/>
    <w:rPr>
      <w:b/>
      <w:bCs/>
      <w:color w:val="6A7B89"/>
      <w:sz w:val="18"/>
      <w:szCs w:val="18"/>
    </w:rPr>
  </w:style>
  <w:style w:type="character" w:customStyle="1" w:styleId="Heading2Char">
    <w:name w:val="Heading 2 Char"/>
    <w:basedOn w:val="DefaultParagraphFont"/>
    <w:link w:val="Heading2"/>
    <w:uiPriority w:val="9"/>
    <w:rsid w:val="001771A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406E3"/>
    <w:pPr>
      <w:ind w:left="720"/>
      <w:contextualSpacing/>
    </w:pPr>
  </w:style>
  <w:style w:type="paragraph" w:styleId="NormalWeb">
    <w:name w:val="Normal (Web)"/>
    <w:basedOn w:val="Normal"/>
    <w:uiPriority w:val="99"/>
    <w:semiHidden/>
    <w:unhideWhenUsed/>
    <w:rsid w:val="00171D63"/>
    <w:rPr>
      <w:rFonts w:ascii="Times New Roman" w:hAnsi="Times New Roman" w:cs="Times New Roman"/>
      <w:sz w:val="24"/>
    </w:rPr>
  </w:style>
  <w:style w:type="character" w:styleId="Hyperlink">
    <w:name w:val="Hyperlink"/>
    <w:uiPriority w:val="99"/>
    <w:semiHidden/>
    <w:unhideWhenUsed/>
    <w:rsid w:val="00C23B7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917092">
      <w:bodyDiv w:val="1"/>
      <w:marLeft w:val="0"/>
      <w:marRight w:val="0"/>
      <w:marTop w:val="0"/>
      <w:marBottom w:val="0"/>
      <w:divBdr>
        <w:top w:val="none" w:sz="0" w:space="0" w:color="auto"/>
        <w:left w:val="none" w:sz="0" w:space="0" w:color="auto"/>
        <w:bottom w:val="none" w:sz="0" w:space="0" w:color="auto"/>
        <w:right w:val="none" w:sz="0" w:space="0" w:color="auto"/>
      </w:divBdr>
    </w:div>
    <w:div w:id="1692491065">
      <w:bodyDiv w:val="1"/>
      <w:marLeft w:val="0"/>
      <w:marRight w:val="0"/>
      <w:marTop w:val="0"/>
      <w:marBottom w:val="0"/>
      <w:divBdr>
        <w:top w:val="none" w:sz="0" w:space="0" w:color="auto"/>
        <w:left w:val="none" w:sz="0" w:space="0" w:color="auto"/>
        <w:bottom w:val="none" w:sz="0" w:space="0" w:color="auto"/>
        <w:right w:val="none" w:sz="0" w:space="0" w:color="auto"/>
      </w:divBdr>
    </w:div>
    <w:div w:id="180888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ean-francois.tossens@tglaw.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iRobinson\AppData\Local\Temp\Temp1_Prf1_Arbitra_CV-Option-2.zip\Arbitra_CV-Option-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93eff0-a47b-44c4-8a95-18cd78afd998">
      <Terms xmlns="http://schemas.microsoft.com/office/infopath/2007/PartnerControls"/>
    </lcf76f155ced4ddcb4097134ff3c332f>
    <TaxCatchAll xmlns="a0fc46d4-ae9d-427e-b2ca-950214edc95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DB3E4B8166944BBA999FDC1B9DFFDF" ma:contentTypeVersion="18" ma:contentTypeDescription="Create a new document." ma:contentTypeScope="" ma:versionID="6e1b9266da26e9198c8e414361e08681">
  <xsd:schema xmlns:xsd="http://www.w3.org/2001/XMLSchema" xmlns:xs="http://www.w3.org/2001/XMLSchema" xmlns:p="http://schemas.microsoft.com/office/2006/metadata/properties" xmlns:ns2="7093eff0-a47b-44c4-8a95-18cd78afd998" xmlns:ns3="a0fc46d4-ae9d-427e-b2ca-950214edc95c" targetNamespace="http://schemas.microsoft.com/office/2006/metadata/properties" ma:root="true" ma:fieldsID="964958d2740ca615133f5b9b06e7481f" ns2:_="" ns3:_="">
    <xsd:import namespace="7093eff0-a47b-44c4-8a95-18cd78afd998"/>
    <xsd:import namespace="a0fc46d4-ae9d-427e-b2ca-950214edc9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3eff0-a47b-44c4-8a95-18cd78afd9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714556-2a55-4b48-9742-c4ea80b66db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fc46d4-ae9d-427e-b2ca-950214edc9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8d002a4-8edd-49fd-aa46-9abbbdfea6f1}" ma:internalName="TaxCatchAll" ma:showField="CatchAllData" ma:web="a0fc46d4-ae9d-427e-b2ca-950214edc9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9A137A-D980-4C55-88F0-03E541A35F87}">
  <ds:schemaRefs>
    <ds:schemaRef ds:uri="http://schemas.microsoft.com/sharepoint/v3/contenttype/forms"/>
  </ds:schemaRefs>
</ds:datastoreItem>
</file>

<file path=customXml/itemProps2.xml><?xml version="1.0" encoding="utf-8"?>
<ds:datastoreItem xmlns:ds="http://schemas.openxmlformats.org/officeDocument/2006/customXml" ds:itemID="{8F97C09D-5CA9-43A4-8CBF-3FD29D2174FE}">
  <ds:schemaRefs>
    <ds:schemaRef ds:uri="http://schemas.openxmlformats.org/officeDocument/2006/bibliography"/>
  </ds:schemaRefs>
</ds:datastoreItem>
</file>

<file path=customXml/itemProps3.xml><?xml version="1.0" encoding="utf-8"?>
<ds:datastoreItem xmlns:ds="http://schemas.openxmlformats.org/officeDocument/2006/customXml" ds:itemID="{899380CF-5AB6-4EA3-8B18-E9BD9E446B65}">
  <ds:schemaRefs>
    <ds:schemaRef ds:uri="http://schemas.microsoft.com/office/2006/metadata/properties"/>
    <ds:schemaRef ds:uri="http://schemas.microsoft.com/office/infopath/2007/PartnerControls"/>
    <ds:schemaRef ds:uri="7093eff0-a47b-44c4-8a95-18cd78afd998"/>
    <ds:schemaRef ds:uri="a0fc46d4-ae9d-427e-b2ca-950214edc95c"/>
  </ds:schemaRefs>
</ds:datastoreItem>
</file>

<file path=customXml/itemProps4.xml><?xml version="1.0" encoding="utf-8"?>
<ds:datastoreItem xmlns:ds="http://schemas.openxmlformats.org/officeDocument/2006/customXml" ds:itemID="{35EE5E17-C22A-47CD-BCEA-C709CA97C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3eff0-a47b-44c4-8a95-18cd78afd998"/>
    <ds:schemaRef ds:uri="a0fc46d4-ae9d-427e-b2ca-950214edc9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Arbitra_CV-Option-2</Template>
  <TotalTime>0</TotalTime>
  <Pages>7</Pages>
  <Words>2517</Words>
  <Characters>13848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  Robinson</dc:creator>
  <cp:keywords/>
  <dc:description/>
  <cp:lastModifiedBy>TGG</cp:lastModifiedBy>
  <cp:revision>2</cp:revision>
  <cp:lastPrinted>2025-07-07T11:55:00Z</cp:lastPrinted>
  <dcterms:created xsi:type="dcterms:W3CDTF">2025-07-11T15:23:00Z</dcterms:created>
  <dcterms:modified xsi:type="dcterms:W3CDTF">2025-07-11T15:23:00Z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0x010100A4DB3E4B8166944BBA999FDC1B9DFFDF</vt:lpwstr>
  </property>
  <property fmtid="{D5CDD505-2E9C-101B-9397-08002B2CF9AE}" pid="3" name="GrammarlyDocumentId">
    <vt:lpwstr>45b213d1ff4c2bf70f26922a2aae129a13a3b732f821e6ca6eb0ddbf05ca9a4c</vt:lpwstr>
  </property>
  <property fmtid="{D5CDD505-2E9C-101B-9397-08002B2CF9AE}" pid="4" name="MediaServiceImageTags">
    <vt:lpwstr/>
  </property>
</Properties>
</file>